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482AB" w14:textId="77777777" w:rsidR="00E878FB" w:rsidRPr="00156804" w:rsidRDefault="00E878FB">
      <w:pPr>
        <w:rPr>
          <w:rFonts w:ascii="Arial" w:hAnsi="Arial" w:cs="Arial"/>
          <w:sz w:val="20"/>
          <w:szCs w:val="20"/>
        </w:rPr>
      </w:pPr>
    </w:p>
    <w:p w14:paraId="6A60D9D9" w14:textId="77777777" w:rsidR="00E878FB" w:rsidRPr="00156804" w:rsidRDefault="00C43B83">
      <w:pPr>
        <w:pStyle w:val="NormalWeb"/>
        <w:spacing w:beforeAutospacing="0" w:afterAutospacing="0" w:line="210" w:lineRule="atLeast"/>
        <w:jc w:val="center"/>
        <w:rPr>
          <w:rFonts w:ascii="Arial" w:hAnsi="Arial" w:cs="Arial"/>
          <w:color w:val="000000"/>
          <w:szCs w:val="20"/>
          <w:lang w:val="pt-BR"/>
        </w:rPr>
      </w:pPr>
      <w:r w:rsidRPr="00156804">
        <w:rPr>
          <w:rFonts w:ascii="Arial" w:hAnsi="Arial" w:cs="Arial"/>
          <w:b/>
          <w:bCs/>
          <w:color w:val="000000"/>
          <w:szCs w:val="20"/>
          <w:lang w:val="pt-BR"/>
        </w:rPr>
        <w:t>PREGÃO ELETRÔNICO</w:t>
      </w:r>
    </w:p>
    <w:p w14:paraId="4773895F" w14:textId="77777777" w:rsidR="00E878FB" w:rsidRPr="00156804" w:rsidRDefault="00C43B83">
      <w:pPr>
        <w:pStyle w:val="NormalWeb"/>
        <w:spacing w:beforeAutospacing="0" w:afterAutospacing="0" w:line="210" w:lineRule="atLeast"/>
        <w:jc w:val="center"/>
        <w:rPr>
          <w:rFonts w:ascii="Arial" w:hAnsi="Arial" w:cs="Arial"/>
          <w:color w:val="000000"/>
          <w:szCs w:val="20"/>
          <w:lang w:val="pt-BR"/>
        </w:rPr>
      </w:pPr>
      <w:r w:rsidRPr="00156804">
        <w:rPr>
          <w:rFonts w:ascii="Arial" w:hAnsi="Arial" w:cs="Arial"/>
          <w:b/>
          <w:bCs/>
          <w:color w:val="000000"/>
          <w:szCs w:val="20"/>
          <w:lang w:val="pt-BR"/>
        </w:rPr>
        <w:t>UNIVERSIDADE FEDERAL DE SÃO JOÃO DEL REI</w:t>
      </w:r>
    </w:p>
    <w:p w14:paraId="3265EA5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109D2E2" w14:textId="77777777" w:rsidR="00E878FB" w:rsidRPr="00156804" w:rsidRDefault="00C43B83">
      <w:pPr>
        <w:pStyle w:val="NormalWeb"/>
        <w:spacing w:beforeAutospacing="0" w:afterAutospacing="0" w:line="210" w:lineRule="atLeast"/>
        <w:jc w:val="center"/>
        <w:rPr>
          <w:rFonts w:ascii="Arial" w:hAnsi="Arial" w:cs="Arial"/>
          <w:color w:val="000000"/>
          <w:szCs w:val="20"/>
          <w:lang w:val="pt-BR"/>
        </w:rPr>
      </w:pPr>
      <w:r w:rsidRPr="00156804">
        <w:rPr>
          <w:rFonts w:ascii="Arial" w:hAnsi="Arial" w:cs="Arial"/>
          <w:b/>
          <w:bCs/>
          <w:color w:val="000000"/>
          <w:szCs w:val="20"/>
          <w:lang w:val="pt-BR"/>
        </w:rPr>
        <w:t>PREGÃO ELETRÔNICO Nº 90017/2025</w:t>
      </w:r>
    </w:p>
    <w:p w14:paraId="6C922BCB" w14:textId="77777777" w:rsidR="00E878FB" w:rsidRPr="00156804" w:rsidRDefault="00C43B83">
      <w:pPr>
        <w:pStyle w:val="NormalWeb"/>
        <w:spacing w:beforeAutospacing="0" w:afterAutospacing="0" w:line="210" w:lineRule="atLeast"/>
        <w:jc w:val="center"/>
        <w:rPr>
          <w:rFonts w:ascii="Arial" w:hAnsi="Arial" w:cs="Arial"/>
          <w:color w:val="000000"/>
          <w:szCs w:val="20"/>
          <w:lang w:val="pt-BR"/>
        </w:rPr>
      </w:pPr>
      <w:r w:rsidRPr="00156804">
        <w:rPr>
          <w:rFonts w:ascii="Arial" w:hAnsi="Arial" w:cs="Arial"/>
          <w:b/>
          <w:bCs/>
          <w:color w:val="000000"/>
          <w:szCs w:val="20"/>
          <w:lang w:val="pt-BR"/>
        </w:rPr>
        <w:t>Processo Administrativo n° 23122.009976/2025-23</w:t>
      </w:r>
    </w:p>
    <w:p w14:paraId="20ECE25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0C16C4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164FCB2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Torna-se público, para conhecimento dos interessados, que o(a) UNIVERSIDADE FEDERAL DE SÃO JOÃO DEL REI , por meio do(a) Setor de Compras e Licitações , sediado(a) Praça Frei Orlando, 170, bairro Centro, na cidade de São João Del Rei/MG , CEP 36307-352, realizará licitação, para registro de preços, na modalidade Pregão Eletrônico, na forma Eletrônica, com critério de julgamento Menor Preço , </w:t>
      </w:r>
      <w:hyperlink r:id="rId7" w:tgtFrame="C:/Users/Secol%2006/Downloads/_blank" w:history="1">
        <w:r w:rsidRPr="00156804">
          <w:rPr>
            <w:rStyle w:val="Hyperlink"/>
            <w:rFonts w:ascii="Arial" w:hAnsi="Arial" w:cs="Arial"/>
            <w:szCs w:val="20"/>
            <w:lang w:val="pt-BR"/>
          </w:rPr>
          <w:t>Lei nº 14.133, de 1º de abril de 2021</w:t>
        </w:r>
      </w:hyperlink>
      <w:r w:rsidRPr="00156804">
        <w:rPr>
          <w:rFonts w:ascii="Arial" w:hAnsi="Arial" w:cs="Arial"/>
          <w:color w:val="000000"/>
          <w:szCs w:val="20"/>
          <w:lang w:val="pt-BR"/>
        </w:rPr>
        <w:t>, do </w:t>
      </w:r>
      <w:hyperlink r:id="rId8" w:tgtFrame="C:/Users/Secol%2006/Downloads/_blank" w:history="1">
        <w:r w:rsidRPr="00156804">
          <w:rPr>
            <w:rStyle w:val="Hyperlink"/>
            <w:rFonts w:ascii="Arial" w:hAnsi="Arial" w:cs="Arial"/>
            <w:szCs w:val="20"/>
            <w:lang w:val="pt-BR"/>
          </w:rPr>
          <w:t>Decreto nº 11.462, de 31 de março de 2023</w:t>
        </w:r>
      </w:hyperlink>
      <w:r w:rsidRPr="00156804">
        <w:rPr>
          <w:rFonts w:ascii="Arial" w:hAnsi="Arial" w:cs="Arial"/>
          <w:color w:val="000000"/>
          <w:szCs w:val="20"/>
          <w:lang w:val="pt-BR"/>
        </w:rPr>
        <w:t>, e demais legislação aplicável e, ainda, de acordo com as condições estabelecidas neste Edital.</w:t>
      </w:r>
    </w:p>
    <w:p w14:paraId="6841A413" w14:textId="77777777" w:rsidR="00E878FB" w:rsidRPr="00156804" w:rsidRDefault="00E878FB">
      <w:pPr>
        <w:pStyle w:val="NormalWeb"/>
        <w:spacing w:beforeAutospacing="0" w:afterAutospacing="0" w:line="210" w:lineRule="atLeast"/>
        <w:jc w:val="both"/>
        <w:rPr>
          <w:rFonts w:ascii="Arial" w:hAnsi="Arial" w:cs="Arial"/>
          <w:color w:val="000000"/>
          <w:szCs w:val="20"/>
          <w:lang w:val="pt-BR"/>
        </w:rPr>
      </w:pPr>
    </w:p>
    <w:p w14:paraId="4F275D63" w14:textId="21DC5CDE" w:rsidR="00E878FB" w:rsidRPr="00450C1B" w:rsidRDefault="00C43B83">
      <w:pPr>
        <w:pStyle w:val="NormalWeb"/>
        <w:spacing w:beforeAutospacing="0" w:afterAutospacing="0" w:line="210" w:lineRule="atLeast"/>
        <w:jc w:val="both"/>
        <w:rPr>
          <w:rFonts w:ascii="Arial" w:hAnsi="Arial" w:cs="Arial"/>
          <w:color w:val="000000"/>
          <w:szCs w:val="20"/>
          <w:highlight w:val="yellow"/>
          <w:lang w:val="pt-BR"/>
        </w:rPr>
      </w:pPr>
      <w:r w:rsidRPr="00450C1B">
        <w:rPr>
          <w:rFonts w:ascii="Arial" w:hAnsi="Arial" w:cs="Arial"/>
          <w:color w:val="000000"/>
          <w:szCs w:val="20"/>
          <w:highlight w:val="yellow"/>
          <w:lang w:val="pt-BR"/>
        </w:rPr>
        <w:t>Data da Sessão Pública: </w:t>
      </w:r>
      <w:r w:rsidR="00450C1B" w:rsidRPr="00450C1B">
        <w:rPr>
          <w:rFonts w:ascii="Arial" w:hAnsi="Arial" w:cs="Arial"/>
          <w:color w:val="000000"/>
          <w:szCs w:val="20"/>
          <w:highlight w:val="yellow"/>
          <w:lang w:val="pt-BR"/>
        </w:rPr>
        <w:t>13</w:t>
      </w:r>
      <w:r w:rsidRPr="00450C1B">
        <w:rPr>
          <w:rFonts w:ascii="Arial" w:hAnsi="Arial" w:cs="Arial"/>
          <w:color w:val="000000"/>
          <w:szCs w:val="20"/>
          <w:highlight w:val="yellow"/>
          <w:lang w:val="pt-BR"/>
        </w:rPr>
        <w:t>/05/2025</w:t>
      </w:r>
    </w:p>
    <w:p w14:paraId="6B7A63C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450C1B">
        <w:rPr>
          <w:rFonts w:ascii="Arial" w:hAnsi="Arial" w:cs="Arial"/>
          <w:color w:val="000000"/>
          <w:szCs w:val="20"/>
          <w:highlight w:val="yellow"/>
          <w:lang w:val="pt-BR"/>
        </w:rPr>
        <w:t>Hora Inicial : 09:00</w:t>
      </w:r>
    </w:p>
    <w:p w14:paraId="4FC0DFD7"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7775EEF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1. DO OBJETO</w:t>
      </w:r>
    </w:p>
    <w:p w14:paraId="49ACB48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ABF1AC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1.1. O objeto da presente licitação é aquisição de alimentos para animais, gênero de alimentação, animais para pesquisa e abate e materiais e medicamentos para uso veterinário conforme condições, quantidades e exigências estabelecidas neste Edital e seus anexos.</w:t>
      </w:r>
    </w:p>
    <w:p w14:paraId="43AA8FF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 A licitação será dividida em 74 (setenta e quatro) itens, conforme tabela constante do Termo de Referência/Projeto Básico, facultando-se ao licitante a participação em quantos itens forem de seu interesse.</w:t>
      </w:r>
    </w:p>
    <w:p w14:paraId="5D395BAA" w14:textId="77777777" w:rsidR="00E878FB" w:rsidRPr="00156804" w:rsidRDefault="00E878FB">
      <w:pPr>
        <w:pStyle w:val="NormalWeb"/>
        <w:spacing w:beforeAutospacing="0" w:afterAutospacing="0" w:line="210" w:lineRule="atLeast"/>
        <w:jc w:val="both"/>
        <w:rPr>
          <w:rFonts w:ascii="Arial" w:hAnsi="Arial" w:cs="Arial"/>
          <w:color w:val="000000"/>
          <w:szCs w:val="20"/>
          <w:lang w:val="pt-BR"/>
        </w:rPr>
      </w:pPr>
    </w:p>
    <w:p w14:paraId="4F1D3C85" w14:textId="77777777" w:rsidR="00E878FB" w:rsidRPr="00156804" w:rsidRDefault="00C43B83">
      <w:pPr>
        <w:pStyle w:val="NormalWeb"/>
        <w:spacing w:beforeAutospacing="0" w:afterAutospacing="0" w:line="210" w:lineRule="atLeast"/>
        <w:jc w:val="both"/>
        <w:rPr>
          <w:rFonts w:ascii="Arial" w:hAnsi="Arial" w:cs="Arial"/>
          <w:b/>
          <w:bCs/>
          <w:color w:val="000000" w:themeColor="text1"/>
          <w:szCs w:val="20"/>
          <w:lang w:val="pt-BR"/>
        </w:rPr>
      </w:pPr>
      <w:r w:rsidRPr="00156804">
        <w:rPr>
          <w:rFonts w:ascii="Arial" w:hAnsi="Arial" w:cs="Arial"/>
          <w:b/>
          <w:bCs/>
          <w:color w:val="000000" w:themeColor="text1"/>
          <w:szCs w:val="20"/>
          <w:lang w:val="pt-BR"/>
        </w:rPr>
        <w:t>1.3. Para o julgamento das propostas, os valores dos itens não poderão ser superiores ao estimado pela Administração e informados no Termo de Referência, sob pena de desclassificação da proposta.</w:t>
      </w:r>
    </w:p>
    <w:p w14:paraId="0D69BBBB" w14:textId="77777777" w:rsidR="00E878FB" w:rsidRPr="00156804" w:rsidRDefault="00E878FB">
      <w:pPr>
        <w:pStyle w:val="NormalWeb"/>
        <w:spacing w:beforeAutospacing="0" w:afterAutospacing="0" w:line="210" w:lineRule="atLeast"/>
        <w:jc w:val="both"/>
        <w:rPr>
          <w:rFonts w:ascii="Arial" w:hAnsi="Arial" w:cs="Arial"/>
          <w:color w:val="000000"/>
          <w:szCs w:val="20"/>
          <w:lang w:val="pt-BR"/>
        </w:rPr>
      </w:pPr>
    </w:p>
    <w:p w14:paraId="0BCFADEC"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 </w:t>
      </w:r>
    </w:p>
    <w:p w14:paraId="627F6EAF"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b/>
          <w:bCs/>
          <w:color w:val="000000"/>
          <w:szCs w:val="20"/>
          <w:lang w:val="pt-BR"/>
        </w:rPr>
        <w:t>2. DO REGISTRO DE PREÇOS</w:t>
      </w:r>
    </w:p>
    <w:p w14:paraId="0CE09ED9"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b/>
          <w:bCs/>
          <w:color w:val="000000"/>
          <w:szCs w:val="20"/>
          <w:lang w:val="pt-BR"/>
        </w:rPr>
        <w:t> </w:t>
      </w:r>
    </w:p>
    <w:p w14:paraId="2D7724C2"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2</w:t>
      </w:r>
      <w:r w:rsidRPr="00156804">
        <w:rPr>
          <w:rFonts w:ascii="Arial" w:hAnsi="Arial" w:cs="Arial"/>
          <w:b/>
          <w:bCs/>
          <w:color w:val="000000"/>
          <w:szCs w:val="20"/>
          <w:lang w:val="pt-BR"/>
        </w:rPr>
        <w:t>.</w:t>
      </w:r>
      <w:r w:rsidRPr="00156804">
        <w:rPr>
          <w:rFonts w:ascii="Arial" w:hAnsi="Arial" w:cs="Arial"/>
          <w:color w:val="000000"/>
          <w:szCs w:val="20"/>
          <w:lang w:val="pt-BR"/>
        </w:rPr>
        <w:t>1</w:t>
      </w:r>
      <w:r w:rsidRPr="00156804">
        <w:rPr>
          <w:rFonts w:ascii="Arial" w:hAnsi="Arial" w:cs="Arial"/>
          <w:b/>
          <w:bCs/>
          <w:color w:val="000000"/>
          <w:szCs w:val="20"/>
          <w:lang w:val="pt-BR"/>
        </w:rPr>
        <w:t xml:space="preserve">. </w:t>
      </w:r>
      <w:r w:rsidRPr="00156804">
        <w:rPr>
          <w:rFonts w:ascii="Arial" w:hAnsi="Arial" w:cs="Arial"/>
          <w:color w:val="000000"/>
          <w:szCs w:val="20"/>
          <w:lang w:val="pt-BR"/>
        </w:rPr>
        <w:t>As regras referentes aos órgãos gerenciador e participantes, bem como a eventuais adesões são as que constam da minuta de Ata de Registro de Preços.</w:t>
      </w:r>
    </w:p>
    <w:p w14:paraId="0317A67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406BBE9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3. DA PARTICIPAÇÃO NA LICITAÇÃO</w:t>
      </w:r>
    </w:p>
    <w:p w14:paraId="5274B49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35B5317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3.1. Poderão participar deste certame os interessados cujo ramo de atividade seja compatível com o objeto da licitação e que estiverem previamente credenciados no Sistema de Cadastramento Unificado de Fornecedores - SICAF e no Sistema de Compras do Governo Federal (</w:t>
      </w:r>
      <w:hyperlink r:id="rId9" w:tgtFrame="C:/Users/Secol%2006/Downloads/_blank" w:history="1">
        <w:r w:rsidRPr="00156804">
          <w:rPr>
            <w:rStyle w:val="Hyperlink"/>
            <w:rFonts w:ascii="Arial" w:hAnsi="Arial" w:cs="Arial"/>
            <w:szCs w:val="20"/>
            <w:lang w:val="pt-BR"/>
          </w:rPr>
          <w:t>www.gov.br/compras</w:t>
        </w:r>
      </w:hyperlink>
      <w:r w:rsidRPr="00156804">
        <w:rPr>
          <w:rFonts w:ascii="Arial" w:hAnsi="Arial" w:cs="Arial"/>
          <w:color w:val="000000"/>
          <w:szCs w:val="20"/>
          <w:lang w:val="pt-BR"/>
        </w:rPr>
        <w:t>).</w:t>
      </w:r>
    </w:p>
    <w:p w14:paraId="587F6A57"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3.2. Os interessados deverão atender às condições exigidas no cadastramento no Sicaf até o terceiro dia útil anterior à data prevista para recebimento das propostas.</w:t>
      </w:r>
    </w:p>
    <w:p w14:paraId="6518D28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3.3.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1A0BAB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3.4.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407B2D5"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3.5. A não observância do disposto no item anterior poderá ensejar desclassificação no momento da habilitação.</w:t>
      </w:r>
    </w:p>
    <w:p w14:paraId="77841C26"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3.6. Para  todos os itens, exceto os itens 33, 53, 55 e 59, a participação é exclusiva a microempresas e empresas de pequeno porte, nos termos do </w:t>
      </w:r>
      <w:hyperlink r:id="rId10" w:tgtFrame="C:/Users/Secol%2006/Downloads/_blank" w:history="1">
        <w:r w:rsidRPr="00156804">
          <w:rPr>
            <w:rStyle w:val="Hyperlink"/>
            <w:rFonts w:ascii="Arial" w:hAnsi="Arial" w:cs="Arial"/>
            <w:szCs w:val="20"/>
            <w:lang w:val="pt-BR"/>
          </w:rPr>
          <w:t>art. 48 da Lei Complementar nº 123, de 14 de dezembro de 2006</w:t>
        </w:r>
      </w:hyperlink>
      <w:r w:rsidRPr="00156804">
        <w:rPr>
          <w:rFonts w:ascii="Arial" w:hAnsi="Arial" w:cs="Arial"/>
          <w:color w:val="000000"/>
          <w:szCs w:val="20"/>
          <w:lang w:val="pt-BR"/>
        </w:rPr>
        <w:t>.</w:t>
      </w:r>
    </w:p>
    <w:p w14:paraId="4AA971FF"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3.7.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0A9368A4"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3.8. Será concedido tratamento favorecido para as microempresas e empresas de pequeno porte, para as sociedades cooperativas mencionadas no </w:t>
      </w:r>
      <w:hyperlink r:id="rId11" w:anchor="art16" w:tgtFrame="C:/Users/Secol%2006/Downloads/_blank" w:history="1">
        <w:r w:rsidRPr="00156804">
          <w:rPr>
            <w:rStyle w:val="Hyperlink"/>
            <w:rFonts w:ascii="Arial" w:hAnsi="Arial" w:cs="Arial"/>
            <w:szCs w:val="20"/>
            <w:lang w:val="pt-BR"/>
          </w:rPr>
          <w:t>artigo 16 da Lei nº 14.133, de 2021</w:t>
        </w:r>
      </w:hyperlink>
      <w:r w:rsidRPr="00156804">
        <w:rPr>
          <w:rFonts w:ascii="Arial" w:hAnsi="Arial" w:cs="Arial"/>
          <w:color w:val="000000"/>
          <w:szCs w:val="20"/>
          <w:lang w:val="pt-BR"/>
        </w:rPr>
        <w:t>, para o agricultor familiar, o produtor rural pessoa física e para o microempreendedor individual - MEI, nos limites previstos da </w:t>
      </w:r>
      <w:hyperlink r:id="rId12" w:tgtFrame="C:/Users/Secol%2006/Downloads/_blank" w:history="1">
        <w:r w:rsidRPr="00156804">
          <w:rPr>
            <w:rStyle w:val="Hyperlink"/>
            <w:rFonts w:ascii="Arial" w:hAnsi="Arial" w:cs="Arial"/>
            <w:szCs w:val="20"/>
            <w:lang w:val="pt-BR"/>
          </w:rPr>
          <w:t>Lei Complementar nº 123</w:t>
        </w:r>
      </w:hyperlink>
      <w:r w:rsidRPr="00156804">
        <w:rPr>
          <w:rFonts w:ascii="Arial" w:hAnsi="Arial" w:cs="Arial"/>
          <w:color w:val="000000"/>
          <w:szCs w:val="20"/>
          <w:lang w:val="pt-BR"/>
        </w:rPr>
        <w:t>, de 2006 e do Decreto n.º 8.538, de 2015.</w:t>
      </w:r>
    </w:p>
    <w:p w14:paraId="7860547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3.9. Não poderão disputar esta licitação:</w:t>
      </w:r>
    </w:p>
    <w:p w14:paraId="7315093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3.9.1. aquele que não atenda às condições deste Edital e seu(s) anexo(s);</w:t>
      </w:r>
    </w:p>
    <w:p w14:paraId="3FDDCF57"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3.9.2. sociedade que desempenhe atividade incompatível com o objeto da licitação;</w:t>
      </w:r>
    </w:p>
    <w:p w14:paraId="7983DF7C"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lastRenderedPageBreak/>
        <w:t>3.9.3. empresas estrangeiras que não tenham representação legal no Brasil com poderes expressos para receber citação e responder administrativa ou judicialmente;</w:t>
      </w:r>
    </w:p>
    <w:p w14:paraId="04515D30"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3.9.4. autor do anteprojeto, do projeto básico ou do projeto executivo, pessoa física ou jurídica, quando a licitação versar sobre serviços ou fornecimento de bens a ele relacionados;</w:t>
      </w:r>
    </w:p>
    <w:p w14:paraId="5B3D9248"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3.9.5.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14AA292E"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3.9.6. pessoa física ou jurídica que se encontre, ao tempo da licitação, impossibilitada de participar da licitação em decorrência de sanção que lhe foi imposta;</w:t>
      </w:r>
    </w:p>
    <w:p w14:paraId="3A94D275"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3.9.7.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24A6DD6"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3.9.8. empresas controladoras, controladas ou coligadas, nos termos da Lei nº 6.404, de 15 de dezembro de 1996, concorrendo entre si;</w:t>
      </w:r>
    </w:p>
    <w:p w14:paraId="1A31DEEA"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3.9.9.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848E10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3.9.10. Organizações da Sociedade Civil de Interesse Público - OSCIP, atuando nessa condição;</w:t>
      </w:r>
    </w:p>
    <w:p w14:paraId="4599100D"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3.9.11.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C2%A71" w:tgtFrame="C:/Users/Secol%2006/Downloads/_blank" w:history="1">
        <w:r w:rsidRPr="00156804">
          <w:rPr>
            <w:rStyle w:val="Hyperlink"/>
            <w:rFonts w:ascii="Arial" w:hAnsi="Arial" w:cs="Arial"/>
            <w:szCs w:val="20"/>
            <w:lang w:val="pt-BR"/>
          </w:rPr>
          <w:t>§ 1º do art. 9º da Lei nº 14.133, de 2021</w:t>
        </w:r>
      </w:hyperlink>
      <w:r w:rsidRPr="00156804">
        <w:rPr>
          <w:rFonts w:ascii="Arial" w:hAnsi="Arial" w:cs="Arial"/>
          <w:color w:val="000000"/>
          <w:szCs w:val="20"/>
          <w:lang w:val="pt-BR"/>
        </w:rPr>
        <w:t>.</w:t>
      </w:r>
    </w:p>
    <w:p w14:paraId="18A619F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3.10. O impedimento de que trata o item 3.9.6.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84E5DF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3.11. A critério da Administração e exclusivamente a seu serviço, o autor dos projetos e a empresa a que se referem os itens 3.9.4. e 3.9.5. poderão participar no apoio das atividades de planejamento da contratação, de execução da licitação ou de gestão do contrato, desde que sob supervisão exclusiva de agentes públicos do órgão ou entidade.</w:t>
      </w:r>
    </w:p>
    <w:p w14:paraId="3D6A13F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3.12. Equiparam-se aos autores do projeto as empresas integrantes do mesmo grupo econômico.</w:t>
      </w:r>
    </w:p>
    <w:p w14:paraId="37C9217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3.13. O disposto nos itens 3.9.4. e 3.9.5. não impede a licitação ou a contratação de serviço que inclua como encargo do contratado a elaboração do projeto básico e do projeto executivo, nas contratações integradas, e do projeto executivo, nos demais regimes de execução.</w:t>
      </w:r>
    </w:p>
    <w:p w14:paraId="4620888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3.14.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tgtFrame="C:/Users/Secol%2006/Downloads/_blank" w:history="1">
        <w:r w:rsidRPr="00156804">
          <w:rPr>
            <w:rStyle w:val="Hyperlink"/>
            <w:rFonts w:ascii="Arial" w:hAnsi="Arial" w:cs="Arial"/>
            <w:szCs w:val="20"/>
            <w:lang w:val="pt-BR"/>
          </w:rPr>
          <w:t>Lei nº 14.133/2021</w:t>
        </w:r>
      </w:hyperlink>
      <w:r w:rsidRPr="00156804">
        <w:rPr>
          <w:rFonts w:ascii="Arial" w:hAnsi="Arial" w:cs="Arial"/>
          <w:color w:val="000000"/>
          <w:szCs w:val="20"/>
          <w:lang w:val="pt-BR"/>
        </w:rPr>
        <w:t>.</w:t>
      </w:r>
    </w:p>
    <w:p w14:paraId="4A1B9F4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3.15. A vedação de que trata o item 3.9.11. estende-se a terceiro que auxilie a condução da contratação na qualidade de integrante de equipe de apoio, profissional especializado ou funcionário ou representante de empresa que preste assessoria técnica.</w:t>
      </w:r>
    </w:p>
    <w:p w14:paraId="21FA393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B772625"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4. DA APRESENTAÇÃO DA PROPOSTA E DOS DOCUMENTOS DE HABILITAÇÃO</w:t>
      </w:r>
    </w:p>
    <w:p w14:paraId="2D14F85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6950D8F4"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4.1. Na presente licitação, a fase de habilitação sucederá as fases de apresentação de propostas e lances e de julgamento.</w:t>
      </w:r>
    </w:p>
    <w:p w14:paraId="31A4903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4.2. Os licitantes encaminharão, exclusivamente por meio do sistema eletrônico, a proposta com o preço, conforme o critério de julgamento adotado neste Edital, até a data e o horário estabelecidos para abertura da sessão pública.</w:t>
      </w:r>
    </w:p>
    <w:p w14:paraId="7579431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4.3. No cadastramento da proposta inicial, o licitante declarará, em campo próprio do sistema, que:</w:t>
      </w:r>
    </w:p>
    <w:p w14:paraId="215E7DD2"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4.3.1.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16CC2D3"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4.3.2. não emprega menor de 18 anos em trabalho noturno, perigoso ou insalubre e não emprega menor de 16 anos, salvo menor, a partir de 14 anos, na condição de aprendiz, nos termos do </w:t>
      </w:r>
      <w:hyperlink r:id="rId15" w:anchor="art7" w:tgtFrame="C:/Users/Secol%2006/Downloads/_blank" w:history="1">
        <w:r w:rsidRPr="00156804">
          <w:rPr>
            <w:rStyle w:val="Hyperlink"/>
            <w:rFonts w:ascii="Arial" w:hAnsi="Arial" w:cs="Arial"/>
            <w:szCs w:val="20"/>
            <w:lang w:val="pt-BR"/>
          </w:rPr>
          <w:t>artigo 7°, XXXIII, da Constituição</w:t>
        </w:r>
      </w:hyperlink>
      <w:r w:rsidRPr="00156804">
        <w:rPr>
          <w:rFonts w:ascii="Arial" w:hAnsi="Arial" w:cs="Arial"/>
          <w:color w:val="000000"/>
          <w:szCs w:val="20"/>
          <w:lang w:val="pt-BR"/>
        </w:rPr>
        <w:t>;</w:t>
      </w:r>
    </w:p>
    <w:p w14:paraId="0B18AA9B"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4.3.3. não possui empregados executando trabalho degradante ou forçado, observando o disposto nos </w:t>
      </w:r>
      <w:hyperlink r:id="rId16" w:tgtFrame="C:/Users/Secol%2006/Downloads/_blank" w:history="1">
        <w:r w:rsidRPr="00156804">
          <w:rPr>
            <w:rStyle w:val="Hyperlink"/>
            <w:rFonts w:ascii="Arial" w:hAnsi="Arial" w:cs="Arial"/>
            <w:szCs w:val="20"/>
            <w:lang w:val="pt-BR"/>
          </w:rPr>
          <w:t>incisos III e IV do art. 1º e no inciso III do art. 5º da Constituição Federal</w:t>
        </w:r>
      </w:hyperlink>
      <w:r w:rsidRPr="00156804">
        <w:rPr>
          <w:rFonts w:ascii="Arial" w:hAnsi="Arial" w:cs="Arial"/>
          <w:color w:val="000000"/>
          <w:szCs w:val="20"/>
          <w:lang w:val="pt-BR"/>
        </w:rPr>
        <w:t>;</w:t>
      </w:r>
    </w:p>
    <w:p w14:paraId="5C4B1DDD"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lastRenderedPageBreak/>
        <w:t>4.3.4. cumpre as exigências de reserva de cargos para pessoa com deficiência e para reabilitado da Previdência Social, previstas em lei e em outras normas específicas.</w:t>
      </w:r>
    </w:p>
    <w:p w14:paraId="3030DBF2"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4.4. O licitante organizado em cooperativa deverá declarar, ainda, em campo próprio do sistema eletrônico, que cumpre os requisitos estabelecidos no </w:t>
      </w:r>
      <w:hyperlink r:id="rId17" w:anchor="art16" w:tgtFrame="C:/Users/Secol%2006/Downloads/_blank" w:history="1">
        <w:r w:rsidRPr="00156804">
          <w:rPr>
            <w:rStyle w:val="Hyperlink"/>
            <w:rFonts w:ascii="Arial" w:hAnsi="Arial" w:cs="Arial"/>
            <w:szCs w:val="20"/>
            <w:lang w:val="pt-BR"/>
          </w:rPr>
          <w:t>artigo 16 da Lei nº 14.133, de 2021</w:t>
        </w:r>
      </w:hyperlink>
      <w:r w:rsidRPr="00156804">
        <w:rPr>
          <w:rFonts w:ascii="Arial" w:hAnsi="Arial" w:cs="Arial"/>
          <w:color w:val="000000"/>
          <w:szCs w:val="20"/>
          <w:lang w:val="pt-BR"/>
        </w:rPr>
        <w:t>.</w:t>
      </w:r>
    </w:p>
    <w:p w14:paraId="2E622050"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4.5. O fornecedor enquadrado como microempresa, empresa de pequeno porte ou sociedade cooperativa deverá declarar, ainda, em campo próprio do sistema eletrônico, que cumpre os requisitos estabelecidos no </w:t>
      </w:r>
      <w:hyperlink r:id="rId18" w:anchor="art3" w:tgtFrame="C:/Users/Secol%2006/Downloads/_blank" w:history="1">
        <w:r w:rsidRPr="00156804">
          <w:rPr>
            <w:rStyle w:val="Hyperlink"/>
            <w:rFonts w:ascii="Arial" w:hAnsi="Arial" w:cs="Arial"/>
            <w:szCs w:val="20"/>
            <w:lang w:val="pt-BR"/>
          </w:rPr>
          <w:t>artigo 3° da Lei Complementar nº 123, de 2006</w:t>
        </w:r>
      </w:hyperlink>
      <w:r w:rsidRPr="00156804">
        <w:rPr>
          <w:rFonts w:ascii="Arial" w:hAnsi="Arial" w:cs="Arial"/>
          <w:color w:val="000000"/>
          <w:szCs w:val="20"/>
          <w:lang w:val="pt-BR"/>
        </w:rPr>
        <w:t>, estando apto a usufruir do tratamento favorecido estabelecido em seus </w:t>
      </w:r>
      <w:hyperlink r:id="rId19" w:anchor="art42" w:history="1">
        <w:r w:rsidRPr="00156804">
          <w:rPr>
            <w:rStyle w:val="Hyperlink"/>
            <w:rFonts w:ascii="Arial" w:hAnsi="Arial" w:cs="Arial"/>
            <w:szCs w:val="20"/>
            <w:lang w:val="pt-BR"/>
          </w:rPr>
          <w:t>arts. 42 a 49</w:t>
        </w:r>
      </w:hyperlink>
      <w:r w:rsidRPr="00156804">
        <w:rPr>
          <w:rFonts w:ascii="Arial" w:hAnsi="Arial" w:cs="Arial"/>
          <w:color w:val="000000"/>
          <w:szCs w:val="20"/>
          <w:lang w:val="pt-BR"/>
        </w:rPr>
        <w:t>, observado o disposto nos </w:t>
      </w:r>
      <w:hyperlink r:id="rId20" w:anchor="art4%C2%A71" w:history="1">
        <w:r w:rsidRPr="00156804">
          <w:rPr>
            <w:rStyle w:val="Hyperlink"/>
            <w:rFonts w:ascii="Arial" w:hAnsi="Arial" w:cs="Arial"/>
            <w:szCs w:val="20"/>
            <w:lang w:val="pt-BR"/>
          </w:rPr>
          <w:t>§§ 1º ao 3º do art. 4º, da Lei n.º 14.133, de 2021</w:t>
        </w:r>
      </w:hyperlink>
      <w:r w:rsidRPr="00156804">
        <w:rPr>
          <w:rFonts w:ascii="Arial" w:hAnsi="Arial" w:cs="Arial"/>
          <w:color w:val="000000"/>
          <w:szCs w:val="20"/>
          <w:lang w:val="pt-BR"/>
        </w:rPr>
        <w:t>.</w:t>
      </w:r>
    </w:p>
    <w:p w14:paraId="135DE069"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4.5.1. no item exclusivo para participação de microempresas e empresas de pequeno porte, a assinalação do campo “não” impedirá o prosseguimento no certame, para aquele item;</w:t>
      </w:r>
    </w:p>
    <w:p w14:paraId="679E824E"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4.5.2. nos itens em que a participação não for exclusiva para microempresas e empresas de pequeno porte, a assinalação do campo “não” apenas produzirá o efeito de o licitante não ter direito ao tratamento favorecido previsto na </w:t>
      </w:r>
      <w:hyperlink r:id="rId21" w:tgtFrame="C:/Users/Secol%2006/Downloads/_blank" w:history="1">
        <w:r w:rsidRPr="00156804">
          <w:rPr>
            <w:rStyle w:val="Hyperlink"/>
            <w:rFonts w:ascii="Arial" w:hAnsi="Arial" w:cs="Arial"/>
            <w:szCs w:val="20"/>
            <w:lang w:val="pt-BR"/>
          </w:rPr>
          <w:t>Lei Complementar nº 123, de 2006</w:t>
        </w:r>
      </w:hyperlink>
      <w:r w:rsidRPr="00156804">
        <w:rPr>
          <w:rFonts w:ascii="Arial" w:hAnsi="Arial" w:cs="Arial"/>
          <w:color w:val="000000"/>
          <w:szCs w:val="20"/>
          <w:lang w:val="pt-BR"/>
        </w:rPr>
        <w:t>, mesmo que microempresa, empresa de pequeno porte ou sociedade cooperativa.</w:t>
      </w:r>
    </w:p>
    <w:p w14:paraId="04D04CB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4.6. Não poderá se beneficiar do tratamento jurídico diferenciado estabelecido nos arts. 42 a 49 da Lei Complementar nº 123, de 2006, a pessoa jurídica:</w:t>
      </w:r>
    </w:p>
    <w:p w14:paraId="0A93BB48"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4.6.1. de cujo capital participe outra pessoa jurídica;</w:t>
      </w:r>
    </w:p>
    <w:p w14:paraId="3C26059F"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4.6.2. que seja filial, sucursal, agência ou representação, no País, de pessoa jurídica com sede no exterior;</w:t>
      </w:r>
    </w:p>
    <w:p w14:paraId="2C12FC5A"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4.6.3. de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p>
    <w:p w14:paraId="2BB8C8F4"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4.6.4. cujo titular ou sócio participe com mais de 10% (dez por cento) do capital de outra empresa não beneficiada pela Lei Complementar nº 123, de 2006, desde que a receita bruta global ultrapasse o limite de que trata o inciso II do art. 3º da referida lei;</w:t>
      </w:r>
    </w:p>
    <w:p w14:paraId="07822EE8"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4.6.5. cujo sócio ou titular seja administrador ou equiparado de outra pessoa jurídica com fins lucrativos, desde que a receita bruta global ultrapasse o limite de que trata o inciso II do art. 3º da referida lei;</w:t>
      </w:r>
    </w:p>
    <w:p w14:paraId="63CB7EF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4.6.6. constituída sob a forma de cooperativas, salvo as de consumo;</w:t>
      </w:r>
    </w:p>
    <w:p w14:paraId="4715554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4.6.7. que participe do capital de outra pessoa jurídica;</w:t>
      </w:r>
    </w:p>
    <w:p w14:paraId="1057FAA9"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4.6.8.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14:paraId="2D8E2675"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4.6.9. resultante ou remanescente de cisão ou qualquer outra forma de desmembramento de pessoa jurídica que tenha ocorrido em um dos 5 (cinco) anos-calendário anteriores;</w:t>
      </w:r>
    </w:p>
    <w:p w14:paraId="5DBFA036"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4.6.10. constituída sob a forma de sociedade por ações.</w:t>
      </w:r>
    </w:p>
    <w:p w14:paraId="58CC0FBF"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4.6.11. cujos titulares ou sócios guardem, cumulativamente, com o contratante do serviço, relação de pessoalidade, subordinação e habitualidade.</w:t>
      </w:r>
    </w:p>
    <w:p w14:paraId="11574249"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4.7. A falsidade da declaração de que trata os itens 4.4 ou 4.6 sujeitará o licitante às sanções previstas na </w:t>
      </w:r>
      <w:hyperlink r:id="rId22" w:tgtFrame="C:/Users/Secol%2006/Downloads/_blank" w:history="1">
        <w:r w:rsidRPr="00156804">
          <w:rPr>
            <w:rStyle w:val="Hyperlink"/>
            <w:rFonts w:ascii="Arial" w:hAnsi="Arial" w:cs="Arial"/>
            <w:szCs w:val="20"/>
            <w:lang w:val="pt-BR"/>
          </w:rPr>
          <w:t>Lei nº 14.133, de 2021</w:t>
        </w:r>
      </w:hyperlink>
      <w:r w:rsidRPr="00156804">
        <w:rPr>
          <w:rFonts w:ascii="Arial" w:hAnsi="Arial" w:cs="Arial"/>
          <w:color w:val="000000"/>
          <w:szCs w:val="20"/>
          <w:lang w:val="pt-BR"/>
        </w:rPr>
        <w:t>, e neste Edital.</w:t>
      </w:r>
    </w:p>
    <w:p w14:paraId="051A582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4.8. 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1E3C12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4.9. Não haverá ordem de classificação na etapa de apresentação da proposta e dos documentos de habilitação pelo licitante, o que ocorrerá somente após os procedimentos de abertura da sessão pública e da fase de envio de lances.</w:t>
      </w:r>
    </w:p>
    <w:p w14:paraId="4CBC71D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4.10. Serão disponibilizados para acesso público os documentos que compõem a proposta dos licitantes convocados para apresentação de propostas, após a fase de envio de lances.</w:t>
      </w:r>
    </w:p>
    <w:p w14:paraId="70EE92B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4.11. Desde que disponibilizada a funcionalidade no sistema, o licitante poderá parametrizar o seu valor final mínimo ou o seu percentual de desconto máximo quando do cadastramento da proposta e obedecerá às seguintes regras:</w:t>
      </w:r>
    </w:p>
    <w:p w14:paraId="61BA4060"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4.11.1. a aplicação do intervalo mínimo de diferença de valores ou de percentuais entre os lances, que incidirá tanto em relação aos lances intermediários quanto em relação ao lance que cobrir a melhor oferta; e</w:t>
      </w:r>
    </w:p>
    <w:p w14:paraId="29EBA5CA"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4.11.2. os lances serão de envio automático pelo sistema, respeitado o valor final mínimo, caso estabelecido, e o intervalo de que trata o subitem acima.</w:t>
      </w:r>
    </w:p>
    <w:p w14:paraId="7DE6E288"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4.12. O valor final mínimo parametrizado no sistema poderá ser alterado pelo fornecedor durante a fase de disputa, sendo vedado valor superior a lance já registrado pelo fornecedor no sistema.</w:t>
      </w:r>
    </w:p>
    <w:p w14:paraId="2D7C1E3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4.13. O valor final mínimo ou o percentual de desconto final máximo parametrizado na forma do item 4.11. possuirá caráter sigiloso para os demais fornecedores e para o órgão ou entidade promotora da licitação, podendo ser disponibilizado estrita e permanentemente aos órgãos de controle externo e interno.</w:t>
      </w:r>
    </w:p>
    <w:p w14:paraId="315D825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lastRenderedPageBreak/>
        <w:t>4.14.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309A22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4.15. O licitante deverá comunicar imediatamente ao provedor do sistema qualquer acontecimento que possa comprometer o sigilo ou a segurança, para imediato bloqueio de acesso.</w:t>
      </w:r>
    </w:p>
    <w:p w14:paraId="04AC24D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70A68EB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5. DO PREENCHIMENTO DA PROPOSTA</w:t>
      </w:r>
    </w:p>
    <w:p w14:paraId="61DCBDE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7BE034C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5.1. O licitante deverá enviar sua proposta mediante o preenchimento, no sistema eletrônico, dos seguintes campos:</w:t>
      </w:r>
    </w:p>
    <w:p w14:paraId="2E9299D8"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5.1.1. Valor unitário do item. expresso em Reais (R$)</w:t>
      </w:r>
    </w:p>
    <w:p w14:paraId="345A0787"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5.2. Todas as especificações do objeto contidas na proposta vinculam o licitante.</w:t>
      </w:r>
    </w:p>
    <w:p w14:paraId="381347A9"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5.2.1. O licitante não poderá oferecer proposta em quantitativo inferior ao máximo previsto para contratação.</w:t>
      </w:r>
    </w:p>
    <w:p w14:paraId="204CDF5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5.3. Nos valores propostos estarão inclusos todos os custos operacionais, encargos previdenciários, trabalhistas, tributários, comerciais e quaisquer outros que incidam direta ou indiretamente na execução do objeto.</w:t>
      </w:r>
    </w:p>
    <w:p w14:paraId="55D16FD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5.4. Os preços ofertados, tanto na proposta inicial, quanto na etapa de lances, serão de exclusiva responsabilidade do licitante, não lhe assistindo o direito de pleitear qualquer alteração, sob alegação de erro, omissão ou qualquer outro pretexto.</w:t>
      </w:r>
    </w:p>
    <w:p w14:paraId="7F3DD49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5.5. Se o regime tributário da empresa implicar o recolhimento de tributos em percentuais variáveis, a cotação adequada será a que corresponde à média dos efetivos recolhimentos da empresa nos últimos doze meses.</w:t>
      </w:r>
    </w:p>
    <w:p w14:paraId="3CB40EB0"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5.5.1. No regime de incidência não-cumulativa de PIS e COFINS, a cotação adequada será a que corresponde à média das alíquotas efetivamente recolhidas pela empresa, comprovada, a qualquer tempo, por documentos de Escrituração Fiscal Digital da Contribuição (EFD-Contribuições) para o PIS/PASEP e COFINS dos últimos 12 (doze) meses anteriores à apresentação da proposta, ou por outro meio hábil.</w:t>
      </w:r>
    </w:p>
    <w:p w14:paraId="1999D83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5.6. Independentemente do percentual de tributo inserido na planilha, no pagamento serão retidos na fonte os percentuais estabelecidos na legislação vigente.</w:t>
      </w:r>
    </w:p>
    <w:p w14:paraId="4608710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5.7. Na presente licitação, a Microempresa e a Empresa de Pequeno Porte poderão se beneficiar do regime de tributação pelo Simples Nacional.</w:t>
      </w:r>
    </w:p>
    <w:p w14:paraId="41DC8C5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5.8. A apresentação das propostas implica obrigatoriedade do cumprimento das disposições nelas contidas, em conformidade com o que dispõe o Termo de Referência/Projeto Básico,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0EE55AF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5.9. O prazo de validade da proposta não será inferior a 60 (sessenta) dias, a contar da data de sua apresentação.</w:t>
      </w:r>
    </w:p>
    <w:p w14:paraId="7BE5EFF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5.10. Os licitantes devem respeitar os preços máximos estabelecidos nas normas de regência de contratações públicas federais, quando participarem de licitações públicas;</w:t>
      </w:r>
    </w:p>
    <w:p w14:paraId="1832A0F4"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5.11. Os licitantes devem respeitar os preços máximos previstos no Termo de Referência/Projeto Básico;</w:t>
      </w:r>
    </w:p>
    <w:p w14:paraId="32DBC1F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5.12. O descumprimento das regras supramencionadas pode ensejar a responsabilização pelo Tribunal de Contas da União e, após o devido processo legal, gerar as seguintes consequências: assinatura de prazo para a adoção das medidas necessárias ao exato cumprimento da lei, nos termos do </w:t>
      </w:r>
      <w:hyperlink r:id="rId23" w:tgtFrame="C:/Users/Secol%2006/Downloads/_blank" w:history="1">
        <w:r w:rsidRPr="00156804">
          <w:rPr>
            <w:rStyle w:val="Hyperlink"/>
            <w:rFonts w:ascii="Arial" w:hAnsi="Arial" w:cs="Arial"/>
            <w:szCs w:val="20"/>
            <w:lang w:val="pt-BR"/>
          </w:rPr>
          <w:t>art. 71, inciso IX, da Constituição</w:t>
        </w:r>
      </w:hyperlink>
      <w:r w:rsidRPr="00156804">
        <w:rPr>
          <w:rFonts w:ascii="Arial" w:hAnsi="Arial" w:cs="Arial"/>
          <w:color w:val="000000"/>
          <w:szCs w:val="20"/>
          <w:lang w:val="pt-BR"/>
        </w:rPr>
        <w:t>; ou condenação dos agentes públicos responsáveis e da empresa contratada ao pagamento dos prejuízos ao erário, caso verificada a ocorrência de superfaturamento por sobrepreço na execução do contrato.</w:t>
      </w:r>
    </w:p>
    <w:p w14:paraId="2146060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50744AB7"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6. DA ABERTURA DA SESSÃO, CLASSIFICAÇÃO DAS PROPOSTAS E FORMULAÇÃO DE LANCES</w:t>
      </w:r>
    </w:p>
    <w:p w14:paraId="6902550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37F81C7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 A abertura da presente licitação dar-se-á automaticamente em sessão pública, por meio de sistema eletrônico, na data, horário e local indicados neste Edital.</w:t>
      </w:r>
    </w:p>
    <w:p w14:paraId="718578F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6.2. Os licitantes poderão retirar ou substituir a proposta ou os documentos de habilitação, quando for o caso, anteriormente inseridos no sistema, até a abertura da sessão pública.</w:t>
      </w:r>
    </w:p>
    <w:p w14:paraId="3EA0719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6.3. O sistema disponibilizará campo próprio para troca de mensagens entre o Pregoeiro e os licitantes.</w:t>
      </w:r>
    </w:p>
    <w:p w14:paraId="09C50D2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6.4. Iniciada a etapa competitiva, os licitantes deverão encaminhar lances exclusivamente por meio de sistema eletrônico, sendo imediatamente informados do seu recebimento e do valor consignado no registro.</w:t>
      </w:r>
    </w:p>
    <w:p w14:paraId="073A93B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6.5. O lance deverá ser ofertado pelo valor unitário do item</w:t>
      </w:r>
    </w:p>
    <w:p w14:paraId="196303C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6.6. Os licitantes poderão oferecer lances sucessivos, observando o horário fixado para abertura da sessão e as regras estabelecidas no Edital.</w:t>
      </w:r>
    </w:p>
    <w:p w14:paraId="4B5473C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6.7. O licitante somente poderá oferecer lance de valor inferior ao último por ele ofertado e registrado pelo sistema.</w:t>
      </w:r>
    </w:p>
    <w:p w14:paraId="1922A53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6.8. O intervalo mínimo de diferença de valores ou percentuais entre os lances, que incidirá tanto em relação aos lances intermediários quanto em relação à proposta que cobrir a melhor oferta deverá ser de R$ 0,01 (um centavo)</w:t>
      </w:r>
    </w:p>
    <w:p w14:paraId="087CD29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lastRenderedPageBreak/>
        <w:t>6.9. O licitante poderá, uma única vez, excluir seu último lance ofertado, no intervalo de quinze segundos após o registro no sistema, na hipótese de lance inconsistente ou inexequível.</w:t>
      </w:r>
    </w:p>
    <w:p w14:paraId="20468DE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6.10. O procedimento seguirá de acordo com o modo de disputa aberto e fechado.</w:t>
      </w:r>
    </w:p>
    <w:p w14:paraId="3DBABFE7"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6.11. No modo de disputa “aberto e fechado”, os licitantes apresentarão lances públicos e sucessivos, com lance final e fechado.</w:t>
      </w:r>
    </w:p>
    <w:p w14:paraId="12225933"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6.11.1. 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6589DC7B"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6.11.2. 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76A1F99F"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6.11.3. No procedimento de que trata o subitem supra, o licitante poderá optar por manter o seu último lance da etapa aberta, ou por ofertar melhor lance.</w:t>
      </w:r>
    </w:p>
    <w:p w14:paraId="1FA83F3B"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6.11.4.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15F1B5"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6.12. Após o término dos prazos estabelecidos nos subitens anteriores, o sistema ordenará e divulgará os lances segundo a ordem crescente de valores.</w:t>
      </w:r>
    </w:p>
    <w:p w14:paraId="3A0A4A0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6.13. Não serão aceitos dois ou mais lances de mesmo valor, prevalecendo aquele que for recebido e registrado em primeiro lugar.</w:t>
      </w:r>
    </w:p>
    <w:p w14:paraId="47A66D6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6.14. Durante o transcurso da sessão pública, os licitantes serão informados, em tempo real, do valor do menor lance registrado, vedada a identificação do licitante.</w:t>
      </w:r>
    </w:p>
    <w:p w14:paraId="75CF9CB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6.15. No caso de desconexão com o Pregoeiro, no decorrer da etapa competitiva do Pregão Eletrônico, o sistema eletrônico poderá permanecer acessível aos licitantes para a recepção dos lances.</w:t>
      </w:r>
    </w:p>
    <w:p w14:paraId="3452F1F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230DE9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6.17. Caso o licitante não apresente lances, concorrerá com o valor de sua proposta.</w:t>
      </w:r>
    </w:p>
    <w:p w14:paraId="2A241B1D"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6.18. Em relação a itens não exclusivos para participação de microempresas e empresas de pequeno porte, uma vez encerrada a etapa de lances, será efetivada a verificação automática, junto à Receita Federal, do porte da entidade empresarial, caso a contratação não se enquadre nas vedações dos </w:t>
      </w:r>
      <w:hyperlink r:id="rId24" w:anchor="art4" w:tgtFrame="C:/Users/Secol%2006/Downloads/_blank" w:history="1">
        <w:r w:rsidRPr="00156804">
          <w:rPr>
            <w:rStyle w:val="Hyperlink"/>
            <w:rFonts w:ascii="Arial" w:hAnsi="Arial" w:cs="Arial"/>
            <w:szCs w:val="20"/>
            <w:lang w:val="pt-BR"/>
          </w:rPr>
          <w:t>§§1º e 2º do art. 4º da Lei nº 14.133, de 2021</w:t>
        </w:r>
      </w:hyperlink>
      <w:r w:rsidRPr="00156804">
        <w:rPr>
          <w:rFonts w:ascii="Arial" w:hAnsi="Arial" w:cs="Arial"/>
          <w:color w:val="000000"/>
          <w:szCs w:val="20"/>
          <w:lang w:val="pt-BR"/>
        </w:rPr>
        <w:t>.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5" w:anchor="art44" w:tgtFrame="C:/Users/Secol%2006/Downloads/_blank" w:history="1">
        <w:r w:rsidRPr="00156804">
          <w:rPr>
            <w:rStyle w:val="Hyperlink"/>
            <w:rFonts w:ascii="Arial" w:hAnsi="Arial" w:cs="Arial"/>
            <w:szCs w:val="20"/>
            <w:lang w:val="pt-BR"/>
          </w:rPr>
          <w:t>arts. 44 e 45 da Lei Complementar nº 123, de 2006</w:t>
        </w:r>
      </w:hyperlink>
      <w:r w:rsidRPr="00156804">
        <w:rPr>
          <w:rFonts w:ascii="Arial" w:hAnsi="Arial" w:cs="Arial"/>
          <w:color w:val="000000"/>
          <w:szCs w:val="20"/>
          <w:lang w:val="pt-BR"/>
        </w:rPr>
        <w:t>, regulamentada pelo </w:t>
      </w:r>
      <w:hyperlink r:id="rId26" w:tgtFrame="C:/Users/Secol%2006/Downloads/_blank" w:history="1">
        <w:r w:rsidRPr="00156804">
          <w:rPr>
            <w:rStyle w:val="Hyperlink"/>
            <w:rFonts w:ascii="Arial" w:hAnsi="Arial" w:cs="Arial"/>
            <w:szCs w:val="20"/>
            <w:lang w:val="pt-BR"/>
          </w:rPr>
          <w:t>Decreto nº 8.538, de 2015</w:t>
        </w:r>
      </w:hyperlink>
      <w:r w:rsidRPr="00156804">
        <w:rPr>
          <w:rFonts w:ascii="Arial" w:hAnsi="Arial" w:cs="Arial"/>
          <w:color w:val="000000"/>
          <w:szCs w:val="20"/>
          <w:lang w:val="pt-BR"/>
        </w:rPr>
        <w:t>.</w:t>
      </w:r>
    </w:p>
    <w:p w14:paraId="4363C986"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6.18.1. Nessas condições, as propostas de microempresas e empresas de pequeno porte que se encontrarem na faixa de até 5% (cinco por cento) serão consideradas empatadas com a primeira colocada.</w:t>
      </w:r>
    </w:p>
    <w:p w14:paraId="0147E4AC"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6.18.2.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28223587"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6.18.3.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E196E6F"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6.18.4.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6CE40E3"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6.18.5.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2531744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6.19. Só poderá haver empate entre propostas iguais (não seguidas de lances), ou entre lances finais da fase fechada.</w:t>
      </w:r>
    </w:p>
    <w:p w14:paraId="3822A7A5"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6.19.1. Havendo eventual empate entre propostas ou lances, o critério de desempate será aquele previsto no </w:t>
      </w:r>
      <w:hyperlink r:id="rId27" w:anchor="art60" w:tgtFrame="C:/Users/Secol%2006/Downloads/_blank" w:history="1">
        <w:r w:rsidRPr="00156804">
          <w:rPr>
            <w:rStyle w:val="Hyperlink"/>
            <w:rFonts w:ascii="Arial" w:hAnsi="Arial" w:cs="Arial"/>
            <w:szCs w:val="20"/>
            <w:lang w:val="pt-BR"/>
          </w:rPr>
          <w:t>art. 60 da Lei nº 14.133, de 2021</w:t>
        </w:r>
      </w:hyperlink>
      <w:r w:rsidRPr="00156804">
        <w:rPr>
          <w:rFonts w:ascii="Arial" w:hAnsi="Arial" w:cs="Arial"/>
          <w:color w:val="000000"/>
          <w:szCs w:val="20"/>
          <w:lang w:val="pt-BR"/>
        </w:rPr>
        <w:t>, nesta ordem:</w:t>
      </w:r>
    </w:p>
    <w:p w14:paraId="364186C7"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6.19.1.1 disputa final, hipótese em que os licitantes empatados poderão apresentar nova proposta em ato contínuo à classificação;</w:t>
      </w:r>
    </w:p>
    <w:p w14:paraId="5B7F002C"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6.19.1.2 avaliação do desempenho contratual prévio dos licitantes, para a qual deverão preferencialmente ser utilizados registros cadastrais para efeito de atesto de cumprimento de obrigações previstos nesta Lei;</w:t>
      </w:r>
    </w:p>
    <w:p w14:paraId="31144BE8"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6.19.1.3 desenvolvimento pelo licitante de ações de equidade entre homens e mulheres no ambiente de trabalho, conforme regulamento;</w:t>
      </w:r>
    </w:p>
    <w:p w14:paraId="29E8E380"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lastRenderedPageBreak/>
        <w:t>6.19.1.4 desenvolvimento pelo licitante de programa de integridade, conforme orientações dos órgãos de controle.</w:t>
      </w:r>
    </w:p>
    <w:p w14:paraId="3ECD4954"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6.19.2. Persistindo o empate, será assegurada preferência, sucessivamente, aos bens e serviços produzidos ou prestados por:</w:t>
      </w:r>
    </w:p>
    <w:p w14:paraId="6F3981F4"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6.19.2.1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15AA585"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6.19.2.2 empresas brasileiras;</w:t>
      </w:r>
    </w:p>
    <w:p w14:paraId="27A5BF00"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6.19.2.3 empresas que invistam em pesquisa e no desenvolvimento de tecnologia no País;</w:t>
      </w:r>
    </w:p>
    <w:p w14:paraId="0A771620" w14:textId="77777777" w:rsidR="00E878FB" w:rsidRPr="00156804" w:rsidRDefault="00C43B83">
      <w:pPr>
        <w:pStyle w:val="NormalWeb"/>
        <w:spacing w:before="210"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6.19.2.4 empresas que comprovem a prática de mitigação, nos termos da </w:t>
      </w:r>
      <w:hyperlink r:id="rId28" w:anchor=":~:text=LEI N%C2%BA 12.187, DE 29 DE DEZEMBRO DE 2009.&amp;text=Institui a Pol%C3%ADtica Nacional sobre,PNMC e d%C3%A1 outras provid%C3%AAncias." w:history="1">
        <w:r w:rsidRPr="00156804">
          <w:rPr>
            <w:rStyle w:val="Hyperlink"/>
            <w:rFonts w:ascii="Arial" w:hAnsi="Arial" w:cs="Arial"/>
            <w:szCs w:val="20"/>
            <w:lang w:val="pt-BR"/>
          </w:rPr>
          <w:t>Lei nº 12.187, de 29 de dezembro de 2009</w:t>
        </w:r>
      </w:hyperlink>
      <w:r w:rsidRPr="00156804">
        <w:rPr>
          <w:rFonts w:ascii="Arial" w:hAnsi="Arial" w:cs="Arial"/>
          <w:color w:val="000000"/>
          <w:szCs w:val="20"/>
          <w:lang w:val="pt-BR"/>
        </w:rPr>
        <w:t>.</w:t>
      </w:r>
    </w:p>
    <w:p w14:paraId="5F65290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6.20. Esgotados todos os demais critérios de desempate previstos em lei, a escolha do licitante vencedor ocorrerá por sorteio, em ato público, para o qual todos os licitantes serão convocados, vedado qualquer outro processo.</w:t>
      </w:r>
    </w:p>
    <w:p w14:paraId="6ED7E68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6.21. 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11FD6F6F"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6.21.1.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3A20B585"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6.21.2. A negociação será realizada por meio do sistema, podendo ser acompanhada pelos demais licitantes.</w:t>
      </w:r>
    </w:p>
    <w:p w14:paraId="70945AF7"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6.21.3. O resultado da negociação será divulgado a todos os licitantes e anexado aos autos do processo licitatório.</w:t>
      </w:r>
    </w:p>
    <w:p w14:paraId="2B0A6B04"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6.21.4. 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p>
    <w:p w14:paraId="2EC1C1D7"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6.21.5. É facultado ao Pregoeiro prorrogar o prazo estabelecido, a partir de solicitação fundamentada feita no chat pelo licitante, antes de findo o prazo.</w:t>
      </w:r>
    </w:p>
    <w:p w14:paraId="1BDEFC4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6.22. Após a negociação do preço, o Pregoeiro iniciará a fase de aceitação e julgamento da proposta.</w:t>
      </w:r>
    </w:p>
    <w:p w14:paraId="484F824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3A9EBBB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7. DA FASE DE JULGAMENTO</w:t>
      </w:r>
    </w:p>
    <w:p w14:paraId="0FEA6A0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AD4B08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 Encerrada a etapa de negociação, o Pregoeiro verificará se o licitante provisoriamente classificado em primeiro lugar atende às condições de participação no certame, conforme previsto no art. 14 da Lei nº 14.133/2021, legislação correlata e no item 3.9. do edital, especialmente quanto à existência de sanção que impeça a participação no certame ou a futura contratação, mediante a consulta aos seguintes cadastros:</w:t>
      </w:r>
    </w:p>
    <w:p w14:paraId="69DB181F"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szCs w:val="20"/>
          <w:lang w:val="pt-BR"/>
        </w:rPr>
        <w:t>a) SICAF;</w:t>
      </w:r>
    </w:p>
    <w:p w14:paraId="54AE34F5" w14:textId="77777777" w:rsidR="00E878FB" w:rsidRPr="00156804" w:rsidRDefault="00C43B83">
      <w:pPr>
        <w:pStyle w:val="ListParagraph"/>
        <w:spacing w:beforeLines="120" w:before="288" w:afterLines="120" w:after="288" w:line="312" w:lineRule="auto"/>
        <w:ind w:left="567"/>
        <w:contextualSpacing w:val="0"/>
        <w:rPr>
          <w:rFonts w:ascii="Arial" w:hAnsi="Arial" w:cs="Arial"/>
          <w:sz w:val="20"/>
          <w:szCs w:val="20"/>
          <w:lang w:eastAsia="ar-SA"/>
        </w:rPr>
      </w:pPr>
      <w:r w:rsidRPr="00156804">
        <w:rPr>
          <w:rFonts w:ascii="Arial" w:hAnsi="Arial" w:cs="Arial"/>
          <w:sz w:val="20"/>
          <w:szCs w:val="20"/>
          <w:lang w:eastAsia="ar-SA"/>
        </w:rPr>
        <w:t>b) Cadastro Nacional de Empresas Inidôneas e Suspensas - CEIS, mantido pela Controladoria-Geral da União (</w:t>
      </w:r>
      <w:hyperlink r:id="rId29" w:history="1">
        <w:r w:rsidRPr="00156804">
          <w:rPr>
            <w:rStyle w:val="Hyperlink"/>
            <w:rFonts w:ascii="Arial" w:hAnsi="Arial" w:cs="Arial"/>
            <w:color w:val="auto"/>
            <w:sz w:val="20"/>
            <w:szCs w:val="20"/>
            <w:lang w:eastAsia="ar-SA"/>
          </w:rPr>
          <w:t>https://www.portaltransparencia.gov.br/sancoes/ceis</w:t>
        </w:r>
      </w:hyperlink>
      <w:r w:rsidRPr="00156804">
        <w:rPr>
          <w:rFonts w:ascii="Arial" w:hAnsi="Arial" w:cs="Arial"/>
          <w:sz w:val="20"/>
          <w:szCs w:val="20"/>
          <w:lang w:eastAsia="ar-SA"/>
        </w:rPr>
        <w:t xml:space="preserve">); e </w:t>
      </w:r>
    </w:p>
    <w:p w14:paraId="42E1C084" w14:textId="77777777" w:rsidR="00E878FB" w:rsidRPr="00156804" w:rsidRDefault="00C43B83">
      <w:pPr>
        <w:pStyle w:val="ListParagraph"/>
        <w:spacing w:beforeLines="120" w:before="288" w:afterLines="120" w:after="288" w:line="312" w:lineRule="auto"/>
        <w:ind w:left="567"/>
        <w:contextualSpacing w:val="0"/>
        <w:rPr>
          <w:rFonts w:ascii="Arial" w:hAnsi="Arial" w:cs="Arial"/>
          <w:sz w:val="20"/>
          <w:szCs w:val="20"/>
          <w:lang w:eastAsia="ar-SA"/>
        </w:rPr>
      </w:pPr>
      <w:r w:rsidRPr="00156804">
        <w:rPr>
          <w:rFonts w:ascii="Arial" w:hAnsi="Arial" w:cs="Arial"/>
          <w:sz w:val="20"/>
          <w:szCs w:val="20"/>
          <w:lang w:eastAsia="ar-SA"/>
        </w:rPr>
        <w:t>c) Cadastro Nacional de Empresas Punidas – CNEP, mantido pela Controladoria-Geral da União (</w:t>
      </w:r>
      <w:hyperlink r:id="rId30" w:history="1">
        <w:r w:rsidRPr="00156804">
          <w:rPr>
            <w:rStyle w:val="Hyperlink"/>
            <w:rFonts w:ascii="Arial" w:hAnsi="Arial" w:cs="Arial"/>
            <w:color w:val="auto"/>
            <w:sz w:val="20"/>
            <w:szCs w:val="20"/>
            <w:lang w:eastAsia="ar-SA"/>
          </w:rPr>
          <w:t>https://www.portaltransparencia.gov.br/sancoes/cnep</w:t>
        </w:r>
      </w:hyperlink>
      <w:r w:rsidRPr="00156804">
        <w:rPr>
          <w:rFonts w:ascii="Arial" w:hAnsi="Arial" w:cs="Arial"/>
          <w:sz w:val="20"/>
          <w:szCs w:val="20"/>
          <w:lang w:eastAsia="ar-SA"/>
        </w:rPr>
        <w:t>).</w:t>
      </w:r>
    </w:p>
    <w:p w14:paraId="11FE3FCE" w14:textId="77777777" w:rsidR="00E878FB" w:rsidRPr="00156804" w:rsidRDefault="00C43B83">
      <w:pPr>
        <w:pStyle w:val="ListParagraph"/>
        <w:spacing w:beforeLines="120" w:before="288" w:afterLines="120" w:after="288" w:line="312" w:lineRule="auto"/>
        <w:ind w:left="567"/>
        <w:jc w:val="both"/>
        <w:rPr>
          <w:rFonts w:ascii="Arial" w:hAnsi="Arial" w:cs="Arial"/>
          <w:b/>
          <w:color w:val="000000" w:themeColor="text1"/>
          <w:sz w:val="20"/>
          <w:szCs w:val="20"/>
          <w:lang w:eastAsia="ar-SA"/>
        </w:rPr>
      </w:pPr>
      <w:r w:rsidRPr="00156804">
        <w:rPr>
          <w:rFonts w:ascii="Arial" w:hAnsi="Arial" w:cs="Arial"/>
          <w:b/>
          <w:color w:val="000000" w:themeColor="text1"/>
          <w:sz w:val="20"/>
          <w:szCs w:val="20"/>
          <w:lang w:eastAsia="ar-SA"/>
        </w:rPr>
        <w:t>d) Lista de Inidôneos, mantida pelo Tribunal de Contas da União - TCU (</w:t>
      </w:r>
      <w:hyperlink r:id="rId31" w:history="1">
        <w:r w:rsidRPr="00156804">
          <w:rPr>
            <w:rStyle w:val="Hyperlink"/>
            <w:rFonts w:ascii="Arial" w:hAnsi="Arial" w:cs="Arial"/>
            <w:b/>
            <w:color w:val="000000" w:themeColor="text1"/>
            <w:sz w:val="20"/>
            <w:szCs w:val="20"/>
            <w:lang w:eastAsia="ar-SA"/>
          </w:rPr>
          <w:t>https://contas.tcu.gov.br/ords/f?p=INABILITADO:CERTIDAO:0</w:t>
        </w:r>
      </w:hyperlink>
      <w:r w:rsidRPr="00156804">
        <w:rPr>
          <w:rFonts w:ascii="Arial" w:hAnsi="Arial" w:cs="Arial"/>
          <w:b/>
          <w:color w:val="000000" w:themeColor="text1"/>
          <w:sz w:val="20"/>
          <w:szCs w:val="20"/>
          <w:lang w:eastAsia="ar-SA"/>
        </w:rPr>
        <w:t>:);</w:t>
      </w:r>
    </w:p>
    <w:p w14:paraId="0120516F" w14:textId="77777777" w:rsidR="00E878FB" w:rsidRPr="00156804" w:rsidRDefault="00E878FB">
      <w:pPr>
        <w:pStyle w:val="ListParagraph"/>
        <w:spacing w:beforeLines="120" w:before="288" w:afterLines="120" w:after="288" w:line="312" w:lineRule="auto"/>
        <w:ind w:left="567"/>
        <w:jc w:val="both"/>
        <w:rPr>
          <w:rFonts w:ascii="Arial" w:hAnsi="Arial" w:cs="Arial"/>
          <w:b/>
          <w:color w:val="000000" w:themeColor="text1"/>
          <w:sz w:val="20"/>
          <w:szCs w:val="20"/>
          <w:lang w:eastAsia="ar-SA"/>
        </w:rPr>
      </w:pPr>
    </w:p>
    <w:p w14:paraId="62B70982" w14:textId="77777777" w:rsidR="00E878FB" w:rsidRPr="00156804" w:rsidRDefault="00C43B83">
      <w:pPr>
        <w:pStyle w:val="ListParagraph"/>
        <w:spacing w:beforeLines="120" w:before="288" w:afterLines="120" w:after="288" w:line="312" w:lineRule="auto"/>
        <w:ind w:left="567"/>
        <w:jc w:val="both"/>
        <w:rPr>
          <w:rFonts w:ascii="Arial" w:hAnsi="Arial" w:cs="Arial"/>
          <w:b/>
          <w:color w:val="000000" w:themeColor="text1"/>
          <w:sz w:val="20"/>
          <w:szCs w:val="20"/>
          <w:lang w:eastAsia="ar-SA"/>
        </w:rPr>
      </w:pPr>
      <w:r w:rsidRPr="00156804">
        <w:rPr>
          <w:rFonts w:ascii="Arial" w:hAnsi="Arial" w:cs="Arial"/>
          <w:b/>
          <w:color w:val="000000" w:themeColor="text1"/>
          <w:sz w:val="20"/>
          <w:szCs w:val="20"/>
          <w:lang w:eastAsia="ar-SA"/>
        </w:rPr>
        <w:t>e) Para a consulta de licitantes pessoa jurídica poderá haver a substituição das consultas das alíneas “b”, “c” e “d” acima pela Consulta Consolidada de Pessoa Jurídica do TCU (https://certidoesapf.apps.tcu.gov.br/)</w:t>
      </w:r>
    </w:p>
    <w:p w14:paraId="24385F2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7.2. A consulta aos cadastros será realizada no nome e no CNPJ da empresa licitante.</w:t>
      </w:r>
    </w:p>
    <w:p w14:paraId="20BA5D61"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7.2.1. A consulta no CEIS quanto às sanções previstas na </w:t>
      </w:r>
      <w:hyperlink r:id="rId32" w:anchor=":~:text=%C3%A0s seguintes comina%C3%A7%C3%B5es:-,Art.,n%C2%BA 12.120, de 2009)." w:tgtFrame="C:/Users/Secol%2006/Downloads/_blank" w:history="1">
        <w:r w:rsidRPr="00156804">
          <w:rPr>
            <w:rStyle w:val="Hyperlink"/>
            <w:rFonts w:ascii="Arial" w:hAnsi="Arial" w:cs="Arial"/>
            <w:szCs w:val="20"/>
            <w:lang w:val="pt-BR"/>
          </w:rPr>
          <w:t>Lei n° 8.429, de 1992.</w:t>
        </w:r>
      </w:hyperlink>
      <w:r w:rsidRPr="00156804">
        <w:rPr>
          <w:rFonts w:ascii="Arial" w:hAnsi="Arial" w:cs="Arial"/>
          <w:color w:val="000000"/>
          <w:szCs w:val="20"/>
          <w:lang w:val="pt-BR"/>
        </w:rPr>
        <w:t> , também ocorrerá no nome e no CPF do sócio majoritário da empresa licitante, se houver, por força do art. 12 da citada lei.</w:t>
      </w:r>
    </w:p>
    <w:p w14:paraId="374BA18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lastRenderedPageBreak/>
        <w:t>7.3. 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tgtFrame="C:/Users/Secol%2006/Downloads/_blank" w:history="1">
        <w:r w:rsidRPr="00156804">
          <w:rPr>
            <w:rStyle w:val="Hyperlink"/>
            <w:rFonts w:ascii="Arial" w:hAnsi="Arial" w:cs="Arial"/>
            <w:szCs w:val="20"/>
            <w:lang w:val="pt-BR"/>
          </w:rPr>
          <w:t>IN nº 3/2018, art. 29, </w:t>
        </w:r>
        <w:r w:rsidRPr="00156804">
          <w:rPr>
            <w:rStyle w:val="Hyperlink"/>
            <w:rFonts w:ascii="Arial" w:hAnsi="Arial" w:cs="Arial"/>
            <w:b/>
            <w:bCs/>
            <w:szCs w:val="20"/>
            <w:lang w:val="pt-BR"/>
          </w:rPr>
          <w:t>caput</w:t>
        </w:r>
      </w:hyperlink>
      <w:r w:rsidRPr="00156804">
        <w:rPr>
          <w:rFonts w:ascii="Arial" w:hAnsi="Arial" w:cs="Arial"/>
          <w:color w:val="000000"/>
          <w:szCs w:val="20"/>
          <w:lang w:val="pt-BR"/>
        </w:rPr>
        <w:t>).</w:t>
      </w:r>
    </w:p>
    <w:p w14:paraId="6DBEE843"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7.3.1. A tentativa de burla será verificada por meio dos vínculos societários, linhas de fornecimento similares, dentre outros. (</w:t>
      </w:r>
      <w:hyperlink r:id="rId34" w:tgtFrame="C:/Users/Secol%2006/Downloads/_blank" w:history="1">
        <w:r w:rsidRPr="00156804">
          <w:rPr>
            <w:rStyle w:val="Hyperlink"/>
            <w:rFonts w:ascii="Arial" w:hAnsi="Arial" w:cs="Arial"/>
            <w:szCs w:val="20"/>
            <w:lang w:val="pt-BR"/>
          </w:rPr>
          <w:t>IN nº 3/2018, art. 29, §1º</w:t>
        </w:r>
      </w:hyperlink>
      <w:r w:rsidRPr="00156804">
        <w:rPr>
          <w:rFonts w:ascii="Arial" w:hAnsi="Arial" w:cs="Arial"/>
          <w:color w:val="000000"/>
          <w:szCs w:val="20"/>
          <w:lang w:val="pt-BR"/>
        </w:rPr>
        <w:t>).</w:t>
      </w:r>
    </w:p>
    <w:p w14:paraId="22F032C8"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7.3.2. O licitante será convocado para manifestação previamente a uma eventual desclassificação. (</w:t>
      </w:r>
      <w:hyperlink r:id="rId35" w:tgtFrame="C:/Users/Secol%2006/Downloads/_blank" w:history="1">
        <w:r w:rsidRPr="00156804">
          <w:rPr>
            <w:rStyle w:val="Hyperlink"/>
            <w:rFonts w:ascii="Arial" w:hAnsi="Arial" w:cs="Arial"/>
            <w:szCs w:val="20"/>
            <w:lang w:val="pt-BR"/>
          </w:rPr>
          <w:t>IN nº 3/2018, art. 29, §2º</w:t>
        </w:r>
      </w:hyperlink>
      <w:r w:rsidRPr="00156804">
        <w:rPr>
          <w:rFonts w:ascii="Arial" w:hAnsi="Arial" w:cs="Arial"/>
          <w:color w:val="000000"/>
          <w:szCs w:val="20"/>
          <w:lang w:val="pt-BR"/>
        </w:rPr>
        <w:t>).</w:t>
      </w:r>
    </w:p>
    <w:p w14:paraId="7065995D"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7.3.3. Constatada a existência de sanção, o licitante será reputado inabilitado, por falta de condição de participação.</w:t>
      </w:r>
    </w:p>
    <w:p w14:paraId="20F097AF"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7.4.Caso o licitante provisoriamente classificado em primeiro lugar tenha se utilizado de algum tratamento favorecido às ME/EPPs ou tenha se valido da aplicação da margem de preferência, o Pregoeiro verificará se faz jus ao benefício.</w:t>
      </w:r>
    </w:p>
    <w:p w14:paraId="4E5B14E0"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7.4.1. Caso o licitante não venha a comprovar o atendimento dos requisitos para fazer jus ao benefício da margem de preferência, as propostas serão reclassificadas, para fins de nova aplicação da margem de preferência.</w:t>
      </w:r>
    </w:p>
    <w:p w14:paraId="5AE1082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7.5.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6" w:anchor="art29" w:tgtFrame="C:/Users/Secol%2006/Downloads/_blank" w:history="1">
        <w:r w:rsidRPr="00156804">
          <w:rPr>
            <w:rStyle w:val="Hyperlink"/>
            <w:rFonts w:ascii="Arial" w:hAnsi="Arial" w:cs="Arial"/>
            <w:szCs w:val="20"/>
            <w:lang w:val="pt-BR"/>
          </w:rPr>
          <w:t>artigo 29 a 35 da IN SEGES nº 73, de 30 de setembro de 2022</w:t>
        </w:r>
      </w:hyperlink>
      <w:r w:rsidRPr="00156804">
        <w:rPr>
          <w:rFonts w:ascii="Arial" w:hAnsi="Arial" w:cs="Arial"/>
          <w:color w:val="000000"/>
          <w:szCs w:val="20"/>
          <w:lang w:val="pt-BR"/>
        </w:rPr>
        <w:t>.</w:t>
      </w:r>
    </w:p>
    <w:p w14:paraId="10CE05E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7.6. Será desclassificada a proposta vencedora que:</w:t>
      </w:r>
    </w:p>
    <w:p w14:paraId="0C5C2ECF"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7.6.1. contiver vícios insanáveis;</w:t>
      </w:r>
    </w:p>
    <w:p w14:paraId="1C3262C4"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7.6.2. não obedecer às especificações técnicas contidas no Termo de Referência/Projeto Básico;</w:t>
      </w:r>
    </w:p>
    <w:p w14:paraId="64E72030"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7.6.3. apresentar preços inexequíveis ou permanecer acima do preço máximo definido para a contratação;</w:t>
      </w:r>
    </w:p>
    <w:p w14:paraId="27863A72"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7.6.4. não tiver sua exequibilidade demonstrada, quando exigido pela Administração;</w:t>
      </w:r>
    </w:p>
    <w:p w14:paraId="477A5F76"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7.6.5. apresentar desconformidade com quaisquer outras exigências deste Edital ou seus anexos, desde que insanável.</w:t>
      </w:r>
    </w:p>
    <w:p w14:paraId="0865D0F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7.7. No caso de bens e serviços em geral, é indício de inexequibilidade das propostas valores inferiores a 50% (cinquenta por cento) do valor orçado pela Administração.</w:t>
      </w:r>
    </w:p>
    <w:p w14:paraId="3A90650E"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7.7.1. A inexequibilidade, na hipótese de que trata o item anterior, só será considerada após diligência do Pregoeiro, que comprove:</w:t>
      </w:r>
    </w:p>
    <w:p w14:paraId="158E0B08"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7.7.1.1. que o custo do licitante ultrapassa o valor da proposta; e</w:t>
      </w:r>
    </w:p>
    <w:p w14:paraId="706D5B2D"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7.7.1.2. inexistirem custos de oportunidade capazes de justificar o vulto da oferta.</w:t>
      </w:r>
    </w:p>
    <w:p w14:paraId="63D5900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7.8. Em contratação de serviços de engenharia, além das disposições acima, a análise de exequibilidade e sobrepreço considerará o seguinte:</w:t>
      </w:r>
    </w:p>
    <w:p w14:paraId="63EAE1F2"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7.8.1. Nos regimes de execução por tarefa, empreitada por preço global ou empreitada integral, semiintegrada ou integrada, a caracterização do sobrepreço se dará pela superação do valor global estimado;</w:t>
      </w:r>
    </w:p>
    <w:p w14:paraId="112E75F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7.8.2. No regime de empreitada por preço unitário, a caracterização do sobrepreço se dará pela superação do valor global estimado e pela superação de custo unitário tido como relevante, conforme planilha anexa ao edital;</w:t>
      </w:r>
    </w:p>
    <w:p w14:paraId="1DD60FAF"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7.8.3. No caso de serviços de engenharia, serão consideradas inexequíveis as propostas cujos valores forem inferiores a 75% (setenta e cinco por cento) do valor orçado pela Administração, independentemente do regime de execução.</w:t>
      </w:r>
    </w:p>
    <w:p w14:paraId="0E9D8698"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7.8.4.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5012F7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7.9. Se houver indícios de inexequibilidade da proposta de preço, ou em caso da necessidade de esclarecimentos complementares, poderão ser efetuadas diligências, para que a empresa comprove a exequibilidade da proposta.</w:t>
      </w:r>
    </w:p>
    <w:p w14:paraId="3A18D1B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7.10.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48469462"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7.10.1. 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64EA176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lastRenderedPageBreak/>
        <w:t>7.10.2. Caso a produtividade seja diferente daquela utilizada pela Administração como referência, ou não estiver contida na faixa referencial de produtividade, mas admitida pelo ato convocatório, o licitante deverá apresentar a respectiva comprovação de exequibilidade;</w:t>
      </w:r>
    </w:p>
    <w:p w14:paraId="57FC49B9"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7.10.3. 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3040BC1C"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7.10.4. Para efeito do subitem anterior, admite-se a adequação técnica da metodologia empregada pela contratada, visando assegurar a execução do objeto, desde que mantidas as condições para a justa remuneração do serviço.</w:t>
      </w:r>
    </w:p>
    <w:p w14:paraId="4AED1CC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7.11. Erros no preenchimento da planilha não constituem motivo para a desclassificação da proposta. A planilha poderá́ ser ajustada pelo fornecedor, no prazo indicado pelo Pregoeiro, desde que não haja majoração do preço e que se comprove que este é o bastante para arcar com todos os custos da contratação;</w:t>
      </w:r>
    </w:p>
    <w:p w14:paraId="586C23B5"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7.11.1. O ajuste de que trata este dispositivo se limita a sanar erros ou falhas que não alterem a substância das propostas;</w:t>
      </w:r>
    </w:p>
    <w:p w14:paraId="69418D23"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7.11.2. Considera-se erro no preenchimento da planilha passível de correção a indicação de recolhimento de impostos e contribuições na forma do Simples Nacional, quando não cabível esse regime.</w:t>
      </w:r>
    </w:p>
    <w:p w14:paraId="2D3D90F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7.12. Para fins de análise da proposta quanto ao cumprimento das especificações do objeto, poderá ser colhida a manifestação escrita do setor requisitante do serviço ou da área especializada no objeto.</w:t>
      </w:r>
    </w:p>
    <w:p w14:paraId="43E619D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7.13. Caso o Termo de Referência/Projeto Básico exija a apresentação de amostra, o licitante classificado em primeiro lugar deverá apresentá-la, conforme disciplinado no Termo de Referência, sob pena de não aceitação da proposta.</w:t>
      </w:r>
    </w:p>
    <w:p w14:paraId="5079773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7.14. Por meio de mensagem no sistema, será divulgado o local e horário de realização do procedimento para a avaliação das amostras, cuja presença será facultada a todos os interessados, incluindo os demais licitantes.</w:t>
      </w:r>
    </w:p>
    <w:p w14:paraId="34B605E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7.15. Os resultados das avaliações serão divulgados por meio de mensagem no sistema.</w:t>
      </w:r>
    </w:p>
    <w:p w14:paraId="497225B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7.16. No caso de não haver entrega da amostra ou ocorrer atraso na entrega, sem justificativa aceita pelo Pregoeiro, ou havendo entrega de amostra fora das especificações previstas neste Edital, a proposta do licitante será recusada.</w:t>
      </w:r>
    </w:p>
    <w:p w14:paraId="543D164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7.17. 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5ED17E7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1B7175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8. DA FASE DE HABILITAÇÃO</w:t>
      </w:r>
    </w:p>
    <w:p w14:paraId="7721F89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7E41771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 Os documentos previstos no Termo de Referência, necessários e suficientes para demonstrar a capacidade do licitante de realizar o objeto da licitação, serão exigidos para fins de habilitação, nos termos dos </w:t>
      </w:r>
      <w:hyperlink r:id="rId37" w:anchor="art62" w:tgtFrame="C:/Users/Secol%2006/Downloads/_blank" w:history="1">
        <w:r w:rsidRPr="00156804">
          <w:rPr>
            <w:rStyle w:val="Hyperlink"/>
            <w:rFonts w:ascii="Arial" w:hAnsi="Arial" w:cs="Arial"/>
            <w:szCs w:val="20"/>
            <w:lang w:val="pt-BR"/>
          </w:rPr>
          <w:t>arts. 62 a 70 da Lei nº 14.133, de 2021</w:t>
        </w:r>
      </w:hyperlink>
      <w:r w:rsidRPr="00156804">
        <w:rPr>
          <w:rFonts w:ascii="Arial" w:hAnsi="Arial" w:cs="Arial"/>
          <w:color w:val="000000"/>
          <w:szCs w:val="20"/>
          <w:lang w:val="pt-BR"/>
        </w:rPr>
        <w:t>.</w:t>
      </w:r>
    </w:p>
    <w:p w14:paraId="5DBA1660"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8.1.1. A documentação exigida para fins de habilitação jurídica, fiscal, social e trabalhista e econômico-</w:t>
      </w:r>
      <w:r w:rsidRPr="00156804">
        <w:rPr>
          <w:rFonts w:ascii="Arial" w:hAnsi="Arial" w:cs="Arial"/>
          <w:color w:val="000000"/>
          <w:szCs w:val="20"/>
        </w:rPr>
        <w:t>ﬁ</w:t>
      </w:r>
      <w:r w:rsidRPr="00156804">
        <w:rPr>
          <w:rFonts w:ascii="Arial" w:hAnsi="Arial" w:cs="Arial"/>
          <w:color w:val="000000"/>
          <w:szCs w:val="20"/>
          <w:lang w:val="pt-BR"/>
        </w:rPr>
        <w:t>nanceira, poderá ser substituída pelo registro cadastral no SICAF.</w:t>
      </w:r>
    </w:p>
    <w:p w14:paraId="195238C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8.2. Quando permitida a participação de empresas estrangeiras que não funcionem no País, as exigências de habilitação serão atendidas mediante documentos equivalentes, inicialmente apresentados em tradução livre.</w:t>
      </w:r>
    </w:p>
    <w:p w14:paraId="3D471CE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xml:space="preserve">8.3. Na hipótese de o licitante vencedor ser empresa estrangeira que não funcione no País, para </w:t>
      </w:r>
      <w:r w:rsidRPr="00156804">
        <w:rPr>
          <w:rFonts w:ascii="Arial" w:hAnsi="Arial" w:cs="Arial"/>
          <w:color w:val="000000"/>
          <w:szCs w:val="20"/>
        </w:rPr>
        <w:t>ﬁ</w:t>
      </w:r>
      <w:r w:rsidRPr="00156804">
        <w:rPr>
          <w:rFonts w:ascii="Arial" w:hAnsi="Arial" w:cs="Arial"/>
          <w:color w:val="000000"/>
          <w:szCs w:val="20"/>
          <w:lang w:val="pt-BR"/>
        </w:rPr>
        <w:t>ns de assinatura do contrato ou da ata de registro de preços, os documentos exigidos para a habilitação serão traduzidos por tradutor juramentado no País e apostilados nos termos do disposto no </w:t>
      </w:r>
      <w:hyperlink r:id="rId38" w:tgtFrame="C:/Users/Secol%2006/Downloads/_blank" w:history="1">
        <w:r w:rsidRPr="00156804">
          <w:rPr>
            <w:rStyle w:val="Hyperlink"/>
            <w:rFonts w:ascii="Arial" w:hAnsi="Arial" w:cs="Arial"/>
            <w:szCs w:val="20"/>
            <w:lang w:val="pt-BR"/>
          </w:rPr>
          <w:t>Decreto nº 8.660, de 29 de janeiro de 2016</w:t>
        </w:r>
      </w:hyperlink>
      <w:r w:rsidRPr="00156804">
        <w:rPr>
          <w:rFonts w:ascii="Arial" w:hAnsi="Arial" w:cs="Arial"/>
          <w:color w:val="000000"/>
          <w:szCs w:val="20"/>
          <w:lang w:val="pt-BR"/>
        </w:rPr>
        <w:t>, ou de outro que venha a substituí-lo, ou consularizados pelos respectivos consulados ou embaixadas.</w:t>
      </w:r>
    </w:p>
    <w:p w14:paraId="3F8195F8"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8.4.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4B4190E"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8.4.1. Se o consórcio não for formado integralmente por microempresas ou empresas de pequeno porte e o termo de referência exigir requisitos de habilitação econômico-financeira, haverá um acréscimo de 20,00 %, (vinte virgula zero) porcento. para o consórcio em relação ao valor exigido para os licitantes individuais.</w:t>
      </w:r>
    </w:p>
    <w:p w14:paraId="1720341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8.5. Os documentos exigidos para fins de habilitação poderão ser apresentados em original, por cópia ou formato digital.</w:t>
      </w:r>
    </w:p>
    <w:p w14:paraId="0B54D2D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8.6. Os documentos exigidos para fins de habilitação poderão ser substituídos por registro cadastral emitido por órgão ou entidade pública, desde que o registro tenha sido feito em obediência ao disposto na Lei nº 14.133/2021.</w:t>
      </w:r>
    </w:p>
    <w:p w14:paraId="48D73C5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8.7. Será verificado se o licitante apresentou declaração de que atende aos requisitos de habilitação, e o declarante responderá pela veracidade das informações prestadas, na forma da lei (</w:t>
      </w:r>
      <w:hyperlink r:id="rId39" w:anchor="art63" w:tgtFrame="C:/Users/Secol%2006/Downloads/_blank" w:history="1">
        <w:r w:rsidRPr="00156804">
          <w:rPr>
            <w:rStyle w:val="Hyperlink"/>
            <w:rFonts w:ascii="Arial" w:hAnsi="Arial" w:cs="Arial"/>
            <w:szCs w:val="20"/>
            <w:lang w:val="pt-BR"/>
          </w:rPr>
          <w:t>art. 63, I, da Lei nº 14.133/2021</w:t>
        </w:r>
      </w:hyperlink>
      <w:r w:rsidRPr="00156804">
        <w:rPr>
          <w:rFonts w:ascii="Arial" w:hAnsi="Arial" w:cs="Arial"/>
          <w:color w:val="000000"/>
          <w:szCs w:val="20"/>
          <w:lang w:val="pt-BR"/>
        </w:rPr>
        <w:t>).</w:t>
      </w:r>
    </w:p>
    <w:p w14:paraId="38FD8695"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lastRenderedPageBreak/>
        <w:t>8.8. 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40DAFE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8.9. O licitante deverá apresentar, sob pena de desclassificação, declaração de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E514A6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8.10. A habilitação será verificada por meio do Sicaf, nos documentos por ele abrangidos.</w:t>
      </w:r>
    </w:p>
    <w:p w14:paraId="0B85C8EE"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8.10.1. Somente haverá a necessidade de comprovação do preenchimento de requisitos mediante apresentação dos documentos originais não-digitais quando houver dúvida em relação à integridade do documento digital ou quando a lei expressamente o exigir. (</w:t>
      </w:r>
      <w:hyperlink r:id="rId40" w:anchor="art4" w:tgtFrame="C:/Users/Secol%2006/Downloads/_blank" w:history="1">
        <w:r w:rsidRPr="00156804">
          <w:rPr>
            <w:rStyle w:val="Hyperlink"/>
            <w:rFonts w:ascii="Arial" w:hAnsi="Arial" w:cs="Arial"/>
            <w:szCs w:val="20"/>
            <w:lang w:val="pt-BR"/>
          </w:rPr>
          <w:t>IN nº 3/2018, art. 4º, §1º, e art. 6º, §4º</w:t>
        </w:r>
      </w:hyperlink>
      <w:r w:rsidRPr="00156804">
        <w:rPr>
          <w:rFonts w:ascii="Arial" w:hAnsi="Arial" w:cs="Arial"/>
          <w:color w:val="000000"/>
          <w:szCs w:val="20"/>
          <w:lang w:val="pt-BR"/>
        </w:rPr>
        <w:t>).</w:t>
      </w:r>
    </w:p>
    <w:p w14:paraId="6B5C802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8.11. 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tgtFrame="C:/Users/Secol%2006/Downloads/_blank" w:history="1">
        <w:r w:rsidRPr="00156804">
          <w:rPr>
            <w:rStyle w:val="Hyperlink"/>
            <w:rFonts w:ascii="Arial" w:hAnsi="Arial" w:cs="Arial"/>
            <w:szCs w:val="20"/>
            <w:lang w:val="pt-BR"/>
          </w:rPr>
          <w:t>IN nº 3/2018, art. 7º, </w:t>
        </w:r>
        <w:r w:rsidRPr="00156804">
          <w:rPr>
            <w:rStyle w:val="Hyperlink"/>
            <w:rFonts w:ascii="Arial" w:hAnsi="Arial" w:cs="Arial"/>
            <w:b/>
            <w:bCs/>
            <w:szCs w:val="20"/>
            <w:lang w:val="pt-BR"/>
          </w:rPr>
          <w:t>caput</w:t>
        </w:r>
      </w:hyperlink>
      <w:r w:rsidRPr="00156804">
        <w:rPr>
          <w:rFonts w:ascii="Arial" w:hAnsi="Arial" w:cs="Arial"/>
          <w:color w:val="000000"/>
          <w:szCs w:val="20"/>
          <w:lang w:val="pt-BR"/>
        </w:rPr>
        <w:t>).</w:t>
      </w:r>
    </w:p>
    <w:p w14:paraId="59C001F4"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8.11.1. A não observância do disposto no item anterior poderá ensejar desclassificação no momento da habilitação. (</w:t>
      </w:r>
      <w:hyperlink r:id="rId42" w:tgtFrame="C:/Users/Secol%2006/Downloads/_blank" w:history="1">
        <w:r w:rsidRPr="00156804">
          <w:rPr>
            <w:rStyle w:val="Hyperlink"/>
            <w:rFonts w:ascii="Arial" w:hAnsi="Arial" w:cs="Arial"/>
            <w:szCs w:val="20"/>
            <w:lang w:val="pt-BR"/>
          </w:rPr>
          <w:t>IN nº 3/2018, art. 7º, parágrafo único</w:t>
        </w:r>
      </w:hyperlink>
      <w:r w:rsidRPr="00156804">
        <w:rPr>
          <w:rFonts w:ascii="Arial" w:hAnsi="Arial" w:cs="Arial"/>
          <w:color w:val="000000"/>
          <w:szCs w:val="20"/>
          <w:lang w:val="pt-BR"/>
        </w:rPr>
        <w:t>).</w:t>
      </w:r>
    </w:p>
    <w:p w14:paraId="5DFFE6F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8.12. A verificação pelo Pregoeiro, em sítios eletrônicos oficiais de órgãos e entidades emissores de certidões constitui meio legal de prova, para fins de habilitação.</w:t>
      </w:r>
    </w:p>
    <w:p w14:paraId="3C5CC870"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8.12.1. Os documentos exigidos para habilitação que não estejam contemplados no Sicaf serão enviados por meio do sistema, em formato digital, no prazo de 2 (duas) horas, prorrogável por igual período, contado da solicitação do Pregoeiro.</w:t>
      </w:r>
    </w:p>
    <w:p w14:paraId="466ADD5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8.13. A verificação no Sicaf ou a exigência dos documentos nele não contidos somente será feita em relação ao licitante vencedor.</w:t>
      </w:r>
    </w:p>
    <w:p w14:paraId="7E07524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8.13.1. Os documentos relativos à regularidade fiscal que constem do Termo de Referência somente serão exigidos, em qualquer caso, em momento posterior ao julgamento das propostas, e apenas do licitante mais bem classificado.</w:t>
      </w:r>
    </w:p>
    <w:p w14:paraId="172B729E"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8.13.2. 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D663E2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8.14. Após a entrega dos documentos para habilitação, não será permitida a substituição ou a apresentação de novos documentos, salvo em sede de diligência, para (</w:t>
      </w:r>
      <w:hyperlink r:id="rId43" w:anchor="art64" w:tgtFrame="C:/Users/Secol%2006/Downloads/_blank" w:history="1">
        <w:r w:rsidRPr="00156804">
          <w:rPr>
            <w:rStyle w:val="Hyperlink"/>
            <w:rFonts w:ascii="Arial" w:hAnsi="Arial" w:cs="Arial"/>
            <w:szCs w:val="20"/>
            <w:lang w:val="pt-BR"/>
          </w:rPr>
          <w:t>Lei 14.133/21, art. 64</w:t>
        </w:r>
      </w:hyperlink>
      <w:r w:rsidRPr="00156804">
        <w:rPr>
          <w:rFonts w:ascii="Arial" w:hAnsi="Arial" w:cs="Arial"/>
          <w:color w:val="000000"/>
          <w:szCs w:val="20"/>
          <w:lang w:val="pt-BR"/>
        </w:rPr>
        <w:t>, e </w:t>
      </w:r>
      <w:hyperlink r:id="rId44" w:tgtFrame="C:/Users/Secol%2006/Downloads/_blank" w:history="1">
        <w:r w:rsidRPr="00156804">
          <w:rPr>
            <w:rStyle w:val="Hyperlink"/>
            <w:rFonts w:ascii="Arial" w:hAnsi="Arial" w:cs="Arial"/>
            <w:szCs w:val="20"/>
            <w:lang w:val="pt-BR"/>
          </w:rPr>
          <w:t>IN 73/2022, art. 39, §4º</w:t>
        </w:r>
      </w:hyperlink>
      <w:r w:rsidRPr="00156804">
        <w:rPr>
          <w:rFonts w:ascii="Arial" w:hAnsi="Arial" w:cs="Arial"/>
          <w:color w:val="000000"/>
          <w:szCs w:val="20"/>
          <w:lang w:val="pt-BR"/>
        </w:rPr>
        <w:t>):</w:t>
      </w:r>
    </w:p>
    <w:p w14:paraId="5ADBFF9F"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8.14.1. complementação de informações acerca dos documentos já apresentados pelos licitantes e desde que necessária para apurar fatos existentes à época da abertura do certame; e</w:t>
      </w:r>
    </w:p>
    <w:p w14:paraId="14F0ED82"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8.14.2. atualização de documentos cuja validade tenha expirado após a data de recebimento das propostas;</w:t>
      </w:r>
    </w:p>
    <w:p w14:paraId="55125D35"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8.15. Na análise dos documentos de habilitação, a comissão de contratação poderá sanar erros ou falhas, que não alterem a substância dos documentos e sua validade jurídica, mediante decisão fundamentada, registrada em ata e acessível a todos, atribuindo-lhes e</w:t>
      </w:r>
      <w:r w:rsidRPr="00156804">
        <w:rPr>
          <w:rFonts w:ascii="Arial" w:hAnsi="Arial" w:cs="Arial"/>
          <w:color w:val="000000"/>
          <w:szCs w:val="20"/>
        </w:rPr>
        <w:t>ﬁ</w:t>
      </w:r>
      <w:r w:rsidRPr="00156804">
        <w:rPr>
          <w:rFonts w:ascii="Arial" w:hAnsi="Arial" w:cs="Arial"/>
          <w:color w:val="000000"/>
          <w:szCs w:val="20"/>
          <w:lang w:val="pt-BR"/>
        </w:rPr>
        <w:t>cácia para fins de habilitação e classificação.</w:t>
      </w:r>
    </w:p>
    <w:p w14:paraId="608EB26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8.16. Na hipótese de o licitante não atender às exigências para habilitação, o Pregoeiro examinará a proposta subsequente e assim sucessivamente, na ordem de classificação, até a apuração de uma proposta que atenda ao presente edital, observado o prazo disposto no subitem 8.12.1.</w:t>
      </w:r>
    </w:p>
    <w:p w14:paraId="521A8BA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8.17. Somente serão disponibilizados para acesso público os documentos de habilitação do licitante cuja proposta atenda ao edital de licitação, após concluídos os procedimentos de que trata o subitem anterior.</w:t>
      </w:r>
    </w:p>
    <w:p w14:paraId="0848D80F"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8.18. A comprovação de regularidade fiscal e trabalhista das microempresas e das empresas de pequeno porte somente será exigida para efeito de contratação, e não como condição para participação na licitação (art. 4º do Decreto nº 8.538/2015).</w:t>
      </w:r>
    </w:p>
    <w:p w14:paraId="5B16B75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7C23AAA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9. DO TERMO DE CONTRATO</w:t>
      </w:r>
    </w:p>
    <w:p w14:paraId="6679A20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73E6C94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9.1. Após a homologação e adjudicação, caso se conclua pela contratação, será firmado termo de contrato, ou outro instrumento equivalente</w:t>
      </w:r>
    </w:p>
    <w:p w14:paraId="4488A7C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9.2. O adjudicatário terá o prazo de 5 (cinco) dias úteis, contados a partir da data de sua convocação, para assinar o termo de contrato ou instrumento equivalente, sob pena de decair o direito à contratação, sem prejuízo das sanções previstas neste Edital.</w:t>
      </w:r>
    </w:p>
    <w:p w14:paraId="56B4785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9.3. Alternativamente à convocação para comparecer perante o órgão ou entidade para a assinatura do Termo de Contrato ou instrumento equivalente, a Administração poderá:</w:t>
      </w:r>
    </w:p>
    <w:p w14:paraId="78C3A641"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a) encaminhá-lo para assinatura, mediante correspondência postal com aviso de recebimento (AR), para que seja assinado e devolvido no prazo de 5 (cinco) dias úteis, a contar da data de seu recebimento;</w:t>
      </w:r>
    </w:p>
    <w:p w14:paraId="63557962"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lastRenderedPageBreak/>
        <w:t>b) disponibilizar acesso a sistema de processo eletrônico para que seja assinado digitalmente em até 5 (cinco) dias úteis; ou</w:t>
      </w:r>
    </w:p>
    <w:p w14:paraId="7258474B"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c) outro meio eletrônico, assegurado o prazo de 5 (cinco) dias úteis para resposta após recebimento da notificação pela Administração.</w:t>
      </w:r>
    </w:p>
    <w:p w14:paraId="2EE34F6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9.4. O Aceite da Nota de Empenho ou do instrumento equivalente, emitida ao fornecedor adjudicado, implica o reconhecimento de que:</w:t>
      </w:r>
    </w:p>
    <w:p w14:paraId="6B11C5C9"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9.4.1. referida Nota está substituindo o contrato, aplicando-se à relação de negócios ali estabelecida as disposições da Lei nº 14.133, de 2021;</w:t>
      </w:r>
    </w:p>
    <w:p w14:paraId="56A88EAB"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9.4.2. a contratada se vincula à sua proposta e às previsões contidas neste Edital;</w:t>
      </w:r>
    </w:p>
    <w:p w14:paraId="41F687AE"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9.4.3. a contratada reconhece que as hipóteses de rescisão são aquelas previstas nos </w:t>
      </w:r>
      <w:hyperlink r:id="rId45" w:anchor="art137" w:tgtFrame="C:/Users/Secol%2006/Downloads/_blank" w:history="1">
        <w:r w:rsidRPr="00156804">
          <w:rPr>
            <w:rStyle w:val="Hyperlink"/>
            <w:rFonts w:ascii="Arial" w:hAnsi="Arial" w:cs="Arial"/>
            <w:szCs w:val="20"/>
            <w:lang w:val="pt-BR"/>
          </w:rPr>
          <w:t>artigos 137 e 138 da Lei nº 14.133, de 2021</w:t>
        </w:r>
      </w:hyperlink>
      <w:r w:rsidRPr="00156804">
        <w:rPr>
          <w:rFonts w:ascii="Arial" w:hAnsi="Arial" w:cs="Arial"/>
          <w:color w:val="000000"/>
          <w:szCs w:val="20"/>
          <w:lang w:val="pt-BR"/>
        </w:rPr>
        <w:t> e reconhece os direitos da Administração previstos nos </w:t>
      </w:r>
      <w:hyperlink r:id="rId46" w:anchor="art137" w:tgtFrame="C:/Users/Secol%2006/Downloads/_blank" w:history="1">
        <w:r w:rsidRPr="00156804">
          <w:rPr>
            <w:rStyle w:val="Hyperlink"/>
            <w:rFonts w:ascii="Arial" w:hAnsi="Arial" w:cs="Arial"/>
            <w:szCs w:val="20"/>
            <w:lang w:val="pt-BR"/>
          </w:rPr>
          <w:t>artigos 137 a 139 da mesma Lei</w:t>
        </w:r>
      </w:hyperlink>
      <w:r w:rsidRPr="00156804">
        <w:rPr>
          <w:rFonts w:ascii="Arial" w:hAnsi="Arial" w:cs="Arial"/>
          <w:color w:val="000000"/>
          <w:szCs w:val="20"/>
          <w:lang w:val="pt-BR"/>
        </w:rPr>
        <w:t>.</w:t>
      </w:r>
    </w:p>
    <w:p w14:paraId="5786A4D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9.5. Os prazos dos itens 9.2. e 9.3. poderão ser prorrogados, por igual período, por solicitação justificada do adjudicatário e aceita pela Administração.</w:t>
      </w:r>
    </w:p>
    <w:p w14:paraId="6712B80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9.6. O prazo de vigência da contratação é o estabelecido no Termo de Referência.</w:t>
      </w:r>
    </w:p>
    <w:p w14:paraId="457E4E5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9.7. Na assinatura do contrato ou instrumento equivalente será exigido o Cadastro Informativo de Créditos não Quitados do Setor Público Federal - Cadin e a comprovação das condições de habilitação e contratação consignadas neste Edital, que deverão ser mantidas pelo fornecedor durante a vigência do contrato.</w:t>
      </w:r>
    </w:p>
    <w:p w14:paraId="0D0F9236"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9.7.1. A existência do registro do Cadin constitui fator impeditivo para a contratação.</w:t>
      </w:r>
    </w:p>
    <w:p w14:paraId="7A22534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4D883001"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b/>
          <w:bCs/>
          <w:color w:val="000000"/>
          <w:szCs w:val="20"/>
          <w:lang w:val="pt-BR"/>
        </w:rPr>
        <w:t>10. DA ATA DE REGISTRO DE PREÇOS</w:t>
      </w:r>
    </w:p>
    <w:p w14:paraId="66934961"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 </w:t>
      </w:r>
    </w:p>
    <w:p w14:paraId="70E076E7"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10.1. Homologado o resultado da licitação, o licitante mais bem classificado terá o prazo de 5 (cinco) dias, contados a partir da data de sua convocação, para assinar a Ata de Registro de Preços, cujo prazo de validade encontra-se nela fixado, sob pena de decadência do direito à contratação, sem prejuízo das sanções previstas na Lei nº 14.133, de 2021.</w:t>
      </w:r>
    </w:p>
    <w:p w14:paraId="13AAE522"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10.2. O prazo de convocação poderá ser prorrogado uma vez, por igual período, mediante solicitação do licitante mais bem classificado ou do fornecedor convocado, desde que:</w:t>
      </w:r>
    </w:p>
    <w:p w14:paraId="545F8499"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(a) a solicitação seja devidamente justificada e apresentada dentro do prazo; e</w:t>
      </w:r>
    </w:p>
    <w:p w14:paraId="00C20D2A"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(b) a justificativa apresentada seja aceita pela Administração.</w:t>
      </w:r>
    </w:p>
    <w:p w14:paraId="2CB76ABD"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10.3. A ata de registro de preços será assinada por meio de assinatura digital e disponibilizada no sistema de registro de preços.</w:t>
      </w:r>
    </w:p>
    <w:p w14:paraId="2BD3E283"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10.4. Serão formalizadas tantas Atas de Registro de Preços quantas forem necessárias para o registro de todos os itens constantes no Termo de Referência/Projeto Básico, com a indicação do licitante vencedor, a descrição do(s) item(ns), as respectivas quantidades, preços registrados e demais condições.</w:t>
      </w:r>
    </w:p>
    <w:p w14:paraId="672AC8ED"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10.5. O preço registrado, com a indicação dos fornecedores, será divulgado no PNCP e disponibilizado durante a vigência da ata de registro de preços.</w:t>
      </w:r>
    </w:p>
    <w:p w14:paraId="157D1FE8"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10.6.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908A1B8"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10.7.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7A7B3B01"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 </w:t>
      </w:r>
    </w:p>
    <w:p w14:paraId="27B27839"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b/>
          <w:bCs/>
          <w:color w:val="000000"/>
          <w:szCs w:val="20"/>
          <w:lang w:val="pt-BR"/>
        </w:rPr>
        <w:t>11. DA FORMAÇÃO DO CADASTRO DE RESERVA</w:t>
      </w:r>
    </w:p>
    <w:p w14:paraId="121BA514"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 </w:t>
      </w:r>
    </w:p>
    <w:p w14:paraId="6C5CE122"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11.1. Após a homologação da licitação, será incluído na ata, na forma de anexo, o registro:.</w:t>
      </w:r>
    </w:p>
    <w:p w14:paraId="21E3D5CB"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11.1.1. dos licitantes que aceitarem cotar o objeto com preço igual ao do adjudicatário, observada a classificação na licitação; e</w:t>
      </w:r>
    </w:p>
    <w:p w14:paraId="06E27474"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11.1.2. dos licitantes que mantiverem sua proposta original</w:t>
      </w:r>
    </w:p>
    <w:p w14:paraId="46FDBF13"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11.2. Será respeitada, nas contratações, a ordem de classificação dos licitantes ou fornecedores registrados na ata.</w:t>
      </w:r>
    </w:p>
    <w:p w14:paraId="3812A2C7"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11.2.1. A apresentação de novas propostas na forma deste item não prejudicará o resultado do certame em relação ao licitante mais bem classificado.</w:t>
      </w:r>
    </w:p>
    <w:p w14:paraId="2015CE05"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11.2.2. Para fins da ordem de classificação, os licitantes ou fornecedores que aceitarem cotar o objeto com preço igual ao do adjudicatário antecederão aqueles que mantiverem sua proposta original.</w:t>
      </w:r>
    </w:p>
    <w:p w14:paraId="75F06151"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11.3. A habilitação dos licitantes que comporão o cadastro de reserva será efetuada quando houver necessidade de contratação dos licitantes remanescentes, nas seguintes hipóteses:</w:t>
      </w:r>
    </w:p>
    <w:p w14:paraId="20A5ECE8"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lastRenderedPageBreak/>
        <w:t>11.3.1. quando o licitante vencedor não assinar a ata de registro de preços no prazo e nas condições estabelecidos no edital; ou</w:t>
      </w:r>
    </w:p>
    <w:p w14:paraId="48D3B571"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11.3.2. quando houver o cancelamento do registro do fornecedor ou do registro de preços, nas hipóteses previstas nos art. 28 e art. 29 do Decreto nº 11.462/23.</w:t>
      </w:r>
    </w:p>
    <w:p w14:paraId="2477E316"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11.4.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EA2CBB3"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11.4.1. convocar os licitantes que mantiveram sua proposta original para negociação, na ordem de classificação, com vistas à obtenção de preço melhor, mesmo que acima do preço do adjudicatário; ou</w:t>
      </w:r>
    </w:p>
    <w:p w14:paraId="5DE5DD37"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11.4.2. adjudicar e firmar o contrato nas condições ofertadas pelos licitantes remanescentes, observada a ordem de classificação, quando frustrada a negociação de melhor condição.</w:t>
      </w:r>
    </w:p>
    <w:p w14:paraId="21A35EE2" w14:textId="77777777" w:rsidR="00E878FB" w:rsidRPr="00156804" w:rsidRDefault="00C43B83">
      <w:pPr>
        <w:pStyle w:val="NormalWeb"/>
        <w:spacing w:beforeAutospacing="0" w:afterAutospacing="0" w:line="210" w:lineRule="atLeast"/>
        <w:jc w:val="both"/>
        <w:rPr>
          <w:rFonts w:ascii="Arial" w:hAnsi="Arial" w:cs="Arial"/>
          <w:szCs w:val="20"/>
          <w:lang w:val="pt-BR"/>
        </w:rPr>
      </w:pPr>
      <w:r w:rsidRPr="00156804">
        <w:rPr>
          <w:rFonts w:ascii="Arial" w:hAnsi="Arial" w:cs="Arial"/>
          <w:color w:val="000000"/>
          <w:szCs w:val="20"/>
          <w:lang w:val="pt-BR"/>
        </w:rPr>
        <w:t> </w:t>
      </w:r>
    </w:p>
    <w:p w14:paraId="0570AFA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12. DOS RECURSOS</w:t>
      </w:r>
    </w:p>
    <w:p w14:paraId="3C4E4F6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490F33B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12.1. A interposição de recurso referente ao julgamento das propostas, à habilitação ou inabilitação de licitantes, à anulação ou revogação da licitação, observará o disposto no art. 165 da Lei nº 14.133, de 2021.</w:t>
      </w:r>
    </w:p>
    <w:p w14:paraId="6C21A67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12.2. O prazo recursal é de 3 (três) dias úteis, contados da data de intimação ou de lavratura da ata.</w:t>
      </w:r>
    </w:p>
    <w:p w14:paraId="56970B2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12.3. Quando o recurso apresentado impugnar o julgamento das propostas ou o ato de habilitação ou inabilitação do licitante:</w:t>
      </w:r>
    </w:p>
    <w:p w14:paraId="338FAEFB"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12.3.1. a intenção de recorrer deverá ser manifestada imediatamente, sob pena de preclusão;</w:t>
      </w:r>
    </w:p>
    <w:p w14:paraId="07A5C85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12.3.2. o prazo para a manifestação da intenção de recorrer não será inferior a 10 (dez) minutos.</w:t>
      </w:r>
    </w:p>
    <w:p w14:paraId="51509ED6" w14:textId="77777777" w:rsidR="00E878FB" w:rsidRPr="00156804" w:rsidRDefault="00C43B83">
      <w:pPr>
        <w:pStyle w:val="NormalWeb"/>
        <w:spacing w:before="210"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12.3.3. o prazo para apresentação das razões recursais será iniciado na data de intimação ou de lavratura da ata de habilitação ou inabilitação;</w:t>
      </w:r>
    </w:p>
    <w:p w14:paraId="7AAF1FA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12.4. Os recursos deverão ser encaminhados em campo próprio do sistema.</w:t>
      </w:r>
    </w:p>
    <w:p w14:paraId="3805613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FD765E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12.6. Os recursos interpostos fora do prazo não serão conhecidos.</w:t>
      </w:r>
    </w:p>
    <w:p w14:paraId="17E3A73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139A865"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12.8. O recurso e o pedido de reconsideração terão efeito suspensivo do ato ou da decisão recorrida até que sobrevenha decisão final da autoridade competente.</w:t>
      </w:r>
    </w:p>
    <w:p w14:paraId="1BAEEBDD"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12.9. O acolhimento do recurso invalida tão somente os atos insuscetíveis de aproveitamento.</w:t>
      </w:r>
    </w:p>
    <w:p w14:paraId="0A05DF3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12.10. Os autos do processo permanecerão com vista franqueada aos interessados no sítio eletrônico https://sipac.ufsj.edu.br/public/jsp/portal.jsf</w:t>
      </w:r>
    </w:p>
    <w:p w14:paraId="2A0EE6F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15F8E8DC"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13. DAS INFRAÇÕES ADMINISTRATIVAS E SANÇÕES</w:t>
      </w:r>
    </w:p>
    <w:p w14:paraId="68F6A2F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634E8B07"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13.1. Comete infração administrativa, nos termos da lei, o licitante que, com dolo ou culpa:</w:t>
      </w:r>
    </w:p>
    <w:p w14:paraId="35B1F75A"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13.1.1. deixar de entregar a documentação exigida para o certame ou não entregar qualquer documento que tenha sido solicitado pelo/a Pregoeiro/a durante o certame;</w:t>
      </w:r>
    </w:p>
    <w:p w14:paraId="2A71B4CC"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13.1.2. Salvo em decorrência de fato superveniente devidamente justificado, não mantiver a proposta em especial quando:</w:t>
      </w:r>
    </w:p>
    <w:p w14:paraId="29A4883E"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13.1.2.1. não enviar a proposta adequada ao último lance ofertado ou após a negociação;</w:t>
      </w:r>
    </w:p>
    <w:p w14:paraId="07DC60D1"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13.1.2.2. recusar-se a enviar o detalhamento da proposta quando exigível;</w:t>
      </w:r>
    </w:p>
    <w:p w14:paraId="534BC6B2"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13.1.2.3. pedir para ser desclassificado quando encerrada a etapa competitiva; ou</w:t>
      </w:r>
    </w:p>
    <w:p w14:paraId="5F32619D"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13.1.2.4. deixar de apresentar amostra;</w:t>
      </w:r>
    </w:p>
    <w:p w14:paraId="0FF0A4C9"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13.1.2.5. apresentar proposta ou amostra em desacordo com as especificações do edital;</w:t>
      </w:r>
    </w:p>
    <w:p w14:paraId="6F3EC526"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13.1.3. não celebrar o contrato ou não entregar a documentação exigida para a contratação, quando convocado dentro do prazo de validade de sua proposta;</w:t>
      </w:r>
    </w:p>
    <w:p w14:paraId="2B68BB1A"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13.1.3.1. recusar-se, sem justificativa, a assinar o contrato ou a ata de registro de preço, ou a aceitar ou retirar o instrumento equivalente no prazo estabelecido pela Administração;</w:t>
      </w:r>
    </w:p>
    <w:p w14:paraId="13CD9C68"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13.1.4. apresentar declaração ou documentação falsa exigida para o certame ou prestar declaração falsa durante a licitação</w:t>
      </w:r>
    </w:p>
    <w:p w14:paraId="412A80AA"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13.1.5. fraudar a licitação;</w:t>
      </w:r>
    </w:p>
    <w:p w14:paraId="10F4C70B"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13.1.6. comportar-se de modo inidôneo ou cometer fraude de qualquer natureza, em especial quando:</w:t>
      </w:r>
    </w:p>
    <w:p w14:paraId="5EDDA325"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13.1.6.1. agir em conluio ou em desconformidade com a lei;</w:t>
      </w:r>
    </w:p>
    <w:p w14:paraId="4283270D"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13.1.6.2. induzir deliberadamente a erro no julgamento;</w:t>
      </w:r>
    </w:p>
    <w:p w14:paraId="3ADC3CF0"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13.1.6.3. apresentar amostra falsificada ou deteriorada;</w:t>
      </w:r>
    </w:p>
    <w:p w14:paraId="5F75ED58"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lastRenderedPageBreak/>
        <w:t>13.1.7. praticar atos ilícitos com vistas a frustrar os objetivos da licitação</w:t>
      </w:r>
    </w:p>
    <w:p w14:paraId="63BAB4DE"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13.1.8. praticar ato lesivo previsto no art. 5º da Lei n.º 12.846, de 2013.</w:t>
      </w:r>
    </w:p>
    <w:p w14:paraId="2ADF8B6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13.2. Com fulcro na </w:t>
      </w:r>
      <w:hyperlink r:id="rId47" w:tgtFrame="C:/Users/Secol%2006/Downloads/_blank" w:history="1">
        <w:r w:rsidRPr="00156804">
          <w:rPr>
            <w:rStyle w:val="Hyperlink"/>
            <w:rFonts w:ascii="Arial" w:hAnsi="Arial" w:cs="Arial"/>
            <w:szCs w:val="20"/>
            <w:lang w:val="pt-BR"/>
          </w:rPr>
          <w:t>Lei nº 14.133, de 2021</w:t>
        </w:r>
      </w:hyperlink>
      <w:r w:rsidRPr="00156804">
        <w:rPr>
          <w:rFonts w:ascii="Arial" w:hAnsi="Arial" w:cs="Arial"/>
          <w:color w:val="000000"/>
          <w:szCs w:val="20"/>
          <w:lang w:val="pt-BR"/>
        </w:rPr>
        <w:t>, a Administração poderá, garantida a prévia defesa, aplicar aos licitantes e/ou adjudicatários as seguintes sanções, sem prejuízo das responsabilidades civil e criminal:</w:t>
      </w:r>
    </w:p>
    <w:p w14:paraId="4CF3609A"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13.2.1. advertência;</w:t>
      </w:r>
    </w:p>
    <w:p w14:paraId="0732EC53"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13.2.2. multa;</w:t>
      </w:r>
    </w:p>
    <w:p w14:paraId="1C3BB6A2"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13.2.3. impedimento de licitar e contratar e</w:t>
      </w:r>
    </w:p>
    <w:p w14:paraId="7E508837"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13.2.4. declaração de inidoneidade para licitar ou contratar, enquanto perdurarem os motivos determinantes da punição ou até que seja promovida sua reabilitação perante a própria autoridade que aplicou a penalidade.</w:t>
      </w:r>
    </w:p>
    <w:p w14:paraId="7049DBF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13.3. Na aplicação das sanções serão considerados:</w:t>
      </w:r>
    </w:p>
    <w:p w14:paraId="3C4728F7"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13.3.1. a natureza e a gravidade da infração cometida.</w:t>
      </w:r>
    </w:p>
    <w:p w14:paraId="7AF88670"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13.3.2. as peculiaridades do caso concreto</w:t>
      </w:r>
    </w:p>
    <w:p w14:paraId="11A9890A"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13.3.3. as circunstâncias agravantes ou atenuantes</w:t>
      </w:r>
    </w:p>
    <w:p w14:paraId="294CB838"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13.3.4. os danos que dela provierem para a Administração Pública</w:t>
      </w:r>
    </w:p>
    <w:p w14:paraId="5A721B66"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13.3.5. a implantação ou o aperfeiçoamento de programa de integridade, conforme normas e orientações dos órgãos de controle.</w:t>
      </w:r>
    </w:p>
    <w:p w14:paraId="7DA8F15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13.4. A multa será recolhida no prazo máximo de 10 (dez) dias úteis, a contar da comunicação oficial.</w:t>
      </w:r>
    </w:p>
    <w:p w14:paraId="51E7CBFD"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13.4.1. Para as infrações previstas nos itens 13.1.1, 13.1.2 e 13.1.3, a multa será de 0.5% a 15% do valor do contrato licitado.</w:t>
      </w:r>
    </w:p>
    <w:p w14:paraId="42F27DF8"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13.4.2. Para as infrações previstas nos itens 13.1.4, 13.1.5, 13.1.6, 13.1.7 e 13.1.8, a multa será de 15% a 30% do valor do contrato licitado.</w:t>
      </w:r>
    </w:p>
    <w:p w14:paraId="469411C7"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13.5. As sanções de advertência, impedimento de licitar e contratar e declaração de inidoneidade para licitar ou contratar poderão ser aplicadas, cumulativamente ou não, à penalidade de multa.</w:t>
      </w:r>
    </w:p>
    <w:p w14:paraId="3118A62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13.6. Na aplicação da sanção de multa será facultada a defesa do interessado no prazo de 15 (quinze) dias úteis, contado da data de sua intimação.</w:t>
      </w:r>
    </w:p>
    <w:p w14:paraId="7222BCF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13.7. A sanção de impedimento de licitar e contratar será aplicada ao responsável em decorrência das infrações administrativas relacionadas nos itens 13.1.1, 13.1.2 e 13.1.3, quando não se justificar a imposição de penalidade mais grave, e impedirá o responsável de licitar e contratar no âmbito da Administração Pública direta e indireta do ente federativo o qual pertencer o órgão ou entidade, pelo prazo máximo de 3 (três) anos.</w:t>
      </w:r>
    </w:p>
    <w:p w14:paraId="0DF6EDA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13.8. Poderá ser aplicada ao responsável a sanção de declaração de inidoneidade para licitar ou contratar, em decorrência da prática das infrações dispostas nos itens 13.1.4, 13.1.5, 13.1.6, 13.1.7 e 13.1.8, bem como pelas infrações administrativas previstas nos itens 13.1.1, 13.1.2 e 13.1.3 que justifiquem a imposição de penalidade mais grave que a sanção de impedimento de licitar e contratar, cuja duração observará o prazo previsto no art. 156, §5º, da Lei n.º 14.133/2021.</w:t>
      </w:r>
    </w:p>
    <w:p w14:paraId="6C7DBFB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13.9. A recusa injustificada do adjudicatário em assinar o contrato ou a ata de registro de preço, ou em aceitar ou retirar o instrumento equivalente no prazo estabelecido pela Administração, descrita no item 13.1.3, caracterizará o descumprimento total da obrigação assumida e o sujeitará às penalidades e à imediata perda da garantia de proposta em favor do órgão ou entidade promotora da licitação, nos termos do art. 45, §4º da IN SEGES/ME n.º 73, de 2022.</w:t>
      </w:r>
    </w:p>
    <w:p w14:paraId="78B1574A"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6E28579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B0D004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13.12.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45F6CF5"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13.13. O recurso e o pedido de reconsideração terão efeito suspensivo do ato ou da decisão recorrida até que sobrevenha decisão final da autoridade competente.</w:t>
      </w:r>
    </w:p>
    <w:p w14:paraId="5ECB4CF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13.14. A aplicação das sanções previstas neste edital não exclui, em hipótese alguma, a obrigação de reparação integral dos danos causados.</w:t>
      </w:r>
    </w:p>
    <w:p w14:paraId="3E929E1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13.15. Para a garantia da ampla defesa e contraditório dos licitantes, as notificações serão enviadas eletronicamente para os endereços de e-mail informados na proposta comercial, bem como os cadastrados pela empresa no SICAF.</w:t>
      </w:r>
    </w:p>
    <w:p w14:paraId="7852DB05"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lastRenderedPageBreak/>
        <w:t>13.15.1. Os endereços de e-mail informados na proposta comercial e/ou cadastrados no Sicaf serão considerados de uso contínuo da empresa, não cabendo alegação de desconhecimento das comunicações a eles comprovadamente enviadas.</w:t>
      </w:r>
    </w:p>
    <w:p w14:paraId="44998A1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4242A80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14. DA IMPUGNAÇÃO AO EDITAL E DO PEDIDO DE ESCLARECIMENTO</w:t>
      </w:r>
    </w:p>
    <w:p w14:paraId="4E8252B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66AF67F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14.1. Qualquer pessoa é parte legítima para impugnar este Edital por irregularidade na aplicação da Lei nº 14.133, de 2021, devendo protocolar o pedido até 3 (três) dias úteis antes da data da abertura do certame.</w:t>
      </w:r>
    </w:p>
    <w:p w14:paraId="12CD3B3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14.2. A resposta à impugnação ou ao pedido de esclarecimento será divulgado em sítio eletrônico oficial no prazo de até 3 (três) dias úteis, limitado ao último dia útil anterior à data da abertura do certame.</w:t>
      </w:r>
    </w:p>
    <w:p w14:paraId="52A5A6A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14.3. A impugnação e o pedido de esclarecimento poderão ser realizados por forma eletrônica, pelos seguintes meios: secol@ufsj.edu.br</w:t>
      </w:r>
    </w:p>
    <w:p w14:paraId="7278135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14.4. As impugnações e pedidos de esclarecimentos não suspendem os prazos previstos no certame.</w:t>
      </w:r>
    </w:p>
    <w:p w14:paraId="3D29BDDA" w14:textId="77777777" w:rsidR="00E878FB" w:rsidRPr="00156804" w:rsidRDefault="00C43B83">
      <w:pPr>
        <w:pStyle w:val="NormalWeb"/>
        <w:spacing w:before="210"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14.4.1. A concessão de efeito suspensivo à impugnação é medida excepcional e deverá ser motivada pelo agente de contratação, nos autos do processo de licitação.</w:t>
      </w:r>
    </w:p>
    <w:p w14:paraId="661BFA6B"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14.5. Acolhida a impugnação, será definida e publicada nova data para a realização do certame.</w:t>
      </w:r>
    </w:p>
    <w:p w14:paraId="4EA2C89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1E6ABEC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b/>
          <w:bCs/>
          <w:color w:val="000000"/>
          <w:szCs w:val="20"/>
          <w:lang w:val="pt-BR"/>
        </w:rPr>
        <w:t>15. DAS DISPOSIÇÕES GERAIS</w:t>
      </w:r>
    </w:p>
    <w:p w14:paraId="48D2AAD0"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48EF06F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15.1. Será divulgada ata da sessão pública no sistema eletrônico.</w:t>
      </w:r>
    </w:p>
    <w:p w14:paraId="6C809F11"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6CF84F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15.3. Todas as referências de tempo no Edital, no aviso e durante a sessão pública observarão o horário de Brasília - DF.</w:t>
      </w:r>
    </w:p>
    <w:p w14:paraId="3361DF82"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15.4. A homologação do resultado desta licitação não implicará direito à contratação.</w:t>
      </w:r>
    </w:p>
    <w:p w14:paraId="7632D9E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15.5. As normas disciplinadoras da licitação serão sempre interpretadas em favor da ampliação da disputa entre os interessados, desde que não comprometam o interesse da Administração, o princípio da isonomia, a finalidade e a segurança da contratação.</w:t>
      </w:r>
    </w:p>
    <w:p w14:paraId="45BB5F08"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15.6. Os licitantes assumem todos os custos de preparação e apresentação de suas propostas e a Administração não será, em nenhum caso, responsável por esses custos, independentemente da condução ou do resultado do processo licitatório.</w:t>
      </w:r>
    </w:p>
    <w:p w14:paraId="4BAB4209"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15.7. Na contagem dos prazos estabelecidos neste Edital e seus Anexos, excluir-se-á o dia do início e incluir-se-á o do vencimento. Só se iniciam e vencem os prazos em dias de expediente na Administração.</w:t>
      </w:r>
    </w:p>
    <w:p w14:paraId="700B907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15.8. O desatendimento de exigências formais não essenciais não importará o afastamento do licitante, desde que seja possível o aproveitamento do ato, observados os princípios da isonomia e do interesse público.</w:t>
      </w:r>
    </w:p>
    <w:p w14:paraId="5532D33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15.9. Em caso de divergência entre disposições deste Edital e de seus anexos ou demais peças que compõem o processo, prevalecerá as deste Edital.</w:t>
      </w:r>
    </w:p>
    <w:p w14:paraId="10D35C6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15.10. O Edital e seus anexos estão disponíveis, na íntegra, no Portal Nacional de Contratações Públicas (PNCP) e endereço eletrônico https://ufsj.edu.br/dimap/secol.php</w:t>
      </w:r>
    </w:p>
    <w:p w14:paraId="7396281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15.11. Integram este Edital, para todos os fins e efeitos, os seguintes anexos:</w:t>
      </w:r>
    </w:p>
    <w:p w14:paraId="6D109029" w14:textId="77777777" w:rsidR="00E878FB" w:rsidRPr="00156804" w:rsidRDefault="00C43B83">
      <w:pPr>
        <w:pStyle w:val="NormalWeb"/>
        <w:spacing w:beforeAutospacing="0" w:afterAutospacing="0" w:line="210" w:lineRule="atLeast"/>
        <w:ind w:firstLine="567"/>
        <w:jc w:val="both"/>
        <w:rPr>
          <w:rFonts w:ascii="Arial" w:hAnsi="Arial" w:cs="Arial"/>
          <w:color w:val="000000"/>
          <w:szCs w:val="20"/>
          <w:lang w:val="pt-BR"/>
        </w:rPr>
      </w:pPr>
      <w:r w:rsidRPr="00156804">
        <w:rPr>
          <w:rFonts w:ascii="Arial" w:hAnsi="Arial" w:cs="Arial"/>
          <w:color w:val="000000"/>
          <w:szCs w:val="20"/>
          <w:lang w:val="pt-BR"/>
        </w:rPr>
        <w:t>15.11.1. ANEXO I - Termo de Referência.</w:t>
      </w:r>
    </w:p>
    <w:p w14:paraId="3BE12CC1" w14:textId="77777777" w:rsidR="00E878FB" w:rsidRPr="00156804" w:rsidRDefault="00C43B83">
      <w:pPr>
        <w:pStyle w:val="NormalWeb"/>
        <w:spacing w:beforeAutospacing="0" w:afterAutospacing="0" w:line="210" w:lineRule="atLeast"/>
        <w:ind w:firstLine="851"/>
        <w:jc w:val="both"/>
        <w:rPr>
          <w:rFonts w:ascii="Arial" w:hAnsi="Arial" w:cs="Arial"/>
          <w:color w:val="000000"/>
          <w:szCs w:val="20"/>
          <w:lang w:val="pt-BR"/>
        </w:rPr>
      </w:pPr>
      <w:r w:rsidRPr="00156804">
        <w:rPr>
          <w:rFonts w:ascii="Arial" w:hAnsi="Arial" w:cs="Arial"/>
          <w:color w:val="000000"/>
          <w:szCs w:val="20"/>
          <w:lang w:val="pt-BR"/>
        </w:rPr>
        <w:t>15.11.1.1. Apêndice do Anexo I – Estudo Técnico Preliminar</w:t>
      </w:r>
    </w:p>
    <w:p w14:paraId="63D1B2A2" w14:textId="77777777" w:rsidR="00E878FB" w:rsidRPr="00156804" w:rsidRDefault="00C43B83">
      <w:pPr>
        <w:pStyle w:val="NormalWeb"/>
        <w:spacing w:beforeAutospacing="0" w:afterAutospacing="0" w:line="210" w:lineRule="atLeast"/>
        <w:ind w:firstLine="567"/>
        <w:jc w:val="both"/>
        <w:rPr>
          <w:rFonts w:ascii="Arial" w:hAnsi="Arial" w:cs="Arial"/>
          <w:szCs w:val="20"/>
          <w:lang w:val="pt-BR"/>
        </w:rPr>
      </w:pPr>
      <w:r w:rsidRPr="00156804">
        <w:rPr>
          <w:rFonts w:ascii="Arial" w:hAnsi="Arial" w:cs="Arial"/>
          <w:color w:val="000000"/>
          <w:szCs w:val="20"/>
          <w:lang w:val="pt-BR"/>
        </w:rPr>
        <w:t>15.11.2. ANEXO II - Minuta de Ata de Registro de Preços</w:t>
      </w:r>
    </w:p>
    <w:p w14:paraId="7530A7D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58161AE"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CC93156"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1B5A200B" w14:textId="6AAB5B2B"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São João del-Rei , </w:t>
      </w:r>
      <w:r w:rsidR="00222392">
        <w:rPr>
          <w:rFonts w:ascii="Arial" w:hAnsi="Arial" w:cs="Arial"/>
          <w:color w:val="000000"/>
          <w:szCs w:val="20"/>
          <w:lang w:val="pt-BR"/>
        </w:rPr>
        <w:t>30</w:t>
      </w:r>
      <w:r w:rsidRPr="00156804">
        <w:rPr>
          <w:rFonts w:ascii="Arial" w:hAnsi="Arial" w:cs="Arial"/>
          <w:color w:val="000000"/>
          <w:szCs w:val="20"/>
          <w:lang w:val="pt-BR"/>
        </w:rPr>
        <w:t xml:space="preserve"> de abril de 2025</w:t>
      </w:r>
    </w:p>
    <w:p w14:paraId="204D98A4"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04055403"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5A5C5E7F" w14:textId="77777777" w:rsidR="00E878FB" w:rsidRPr="00156804" w:rsidRDefault="00C43B83">
      <w:pPr>
        <w:pStyle w:val="NormalWeb"/>
        <w:spacing w:beforeAutospacing="0" w:afterAutospacing="0" w:line="210" w:lineRule="atLeast"/>
        <w:jc w:val="both"/>
        <w:rPr>
          <w:rFonts w:ascii="Arial" w:hAnsi="Arial" w:cs="Arial"/>
          <w:color w:val="000000"/>
          <w:szCs w:val="20"/>
          <w:lang w:val="pt-BR"/>
        </w:rPr>
      </w:pPr>
      <w:r w:rsidRPr="00156804">
        <w:rPr>
          <w:rFonts w:ascii="Arial" w:hAnsi="Arial" w:cs="Arial"/>
          <w:color w:val="000000"/>
          <w:szCs w:val="20"/>
          <w:lang w:val="pt-BR"/>
        </w:rPr>
        <w:t> </w:t>
      </w:r>
    </w:p>
    <w:p w14:paraId="4E0469B0" w14:textId="77777777" w:rsidR="00E878FB" w:rsidRPr="00156804" w:rsidRDefault="00C43B83">
      <w:pPr>
        <w:pStyle w:val="NormalWeb"/>
        <w:spacing w:beforeAutospacing="0" w:afterAutospacing="0" w:line="210" w:lineRule="atLeast"/>
        <w:jc w:val="center"/>
        <w:rPr>
          <w:rFonts w:ascii="Arial" w:hAnsi="Arial" w:cs="Arial"/>
          <w:color w:val="000000"/>
          <w:szCs w:val="20"/>
          <w:lang w:val="pt-BR"/>
        </w:rPr>
      </w:pPr>
      <w:r w:rsidRPr="00156804">
        <w:rPr>
          <w:rFonts w:ascii="Arial" w:hAnsi="Arial" w:cs="Arial"/>
          <w:color w:val="000000"/>
          <w:szCs w:val="20"/>
          <w:lang w:val="pt-BR"/>
        </w:rPr>
        <w:t>............................................................................</w:t>
      </w:r>
    </w:p>
    <w:p w14:paraId="10958ECE" w14:textId="41E1975D" w:rsidR="00E878FB" w:rsidRDefault="00222392">
      <w:pPr>
        <w:pStyle w:val="NormalWeb"/>
        <w:spacing w:beforeAutospacing="0" w:afterAutospacing="0" w:line="210" w:lineRule="atLeast"/>
        <w:jc w:val="center"/>
        <w:rPr>
          <w:rFonts w:ascii="Arial" w:hAnsi="Arial" w:cs="Arial"/>
          <w:color w:val="000000"/>
          <w:szCs w:val="20"/>
          <w:lang w:val="pt-BR"/>
        </w:rPr>
      </w:pPr>
      <w:r>
        <w:rPr>
          <w:rFonts w:ascii="Arial" w:hAnsi="Arial" w:cs="Arial"/>
          <w:color w:val="000000"/>
          <w:szCs w:val="20"/>
          <w:lang w:val="pt-BR"/>
        </w:rPr>
        <w:t>Fernanda Rodrigues Drumond Chaves</w:t>
      </w:r>
    </w:p>
    <w:p w14:paraId="0B4EB6B9" w14:textId="38311270" w:rsidR="00156804" w:rsidRDefault="00222392" w:rsidP="00222392">
      <w:pPr>
        <w:pStyle w:val="NormalWeb"/>
        <w:spacing w:beforeAutospacing="0" w:afterAutospacing="0" w:line="210" w:lineRule="atLeast"/>
        <w:jc w:val="center"/>
        <w:rPr>
          <w:rFonts w:ascii="Arial" w:hAnsi="Arial" w:cs="Arial"/>
          <w:color w:val="000000"/>
          <w:szCs w:val="20"/>
          <w:lang w:val="pt-BR"/>
        </w:rPr>
      </w:pPr>
      <w:r>
        <w:rPr>
          <w:rFonts w:ascii="Arial" w:hAnsi="Arial" w:cs="Arial"/>
          <w:color w:val="000000"/>
          <w:szCs w:val="20"/>
          <w:lang w:val="pt-BR"/>
        </w:rPr>
        <w:t>Setor de Compras e Licitações</w:t>
      </w:r>
    </w:p>
    <w:p w14:paraId="21DBE78E" w14:textId="77777777" w:rsidR="00222392" w:rsidRDefault="00222392" w:rsidP="00222392">
      <w:pPr>
        <w:pStyle w:val="NormalWeb"/>
        <w:spacing w:beforeAutospacing="0" w:afterAutospacing="0" w:line="210" w:lineRule="atLeast"/>
        <w:jc w:val="center"/>
        <w:rPr>
          <w:rFonts w:ascii="Arial" w:hAnsi="Arial" w:cs="Arial"/>
          <w:color w:val="000000"/>
          <w:szCs w:val="20"/>
          <w:lang w:val="pt-BR"/>
        </w:rPr>
      </w:pPr>
    </w:p>
    <w:p w14:paraId="49FC6410" w14:textId="77777777" w:rsidR="00222392" w:rsidRDefault="00222392" w:rsidP="00222392">
      <w:pPr>
        <w:pStyle w:val="NormalWeb"/>
        <w:spacing w:beforeAutospacing="0" w:afterAutospacing="0" w:line="210" w:lineRule="atLeast"/>
        <w:jc w:val="center"/>
        <w:rPr>
          <w:rFonts w:ascii="Arial" w:hAnsi="Arial" w:cs="Arial"/>
          <w:color w:val="000000"/>
          <w:szCs w:val="20"/>
          <w:lang w:val="pt-BR"/>
        </w:rPr>
      </w:pPr>
    </w:p>
    <w:p w14:paraId="3AEBAC25" w14:textId="7E37D2E4" w:rsidR="00222392" w:rsidRDefault="00222392">
      <w:pPr>
        <w:rPr>
          <w:rFonts w:ascii="Arial" w:eastAsia="SimSun" w:hAnsi="Arial" w:cs="Arial"/>
          <w:color w:val="000000"/>
          <w:sz w:val="20"/>
          <w:szCs w:val="20"/>
          <w:lang w:eastAsia="zh-CN"/>
        </w:rPr>
      </w:pPr>
      <w:r>
        <w:rPr>
          <w:rFonts w:ascii="Arial" w:hAnsi="Arial" w:cs="Arial"/>
          <w:color w:val="000000"/>
          <w:szCs w:val="20"/>
        </w:rPr>
        <w:br w:type="page"/>
      </w:r>
    </w:p>
    <w:p w14:paraId="3EA271A9" w14:textId="77777777" w:rsidR="00222392" w:rsidRPr="00222392" w:rsidRDefault="00222392" w:rsidP="00222392">
      <w:pPr>
        <w:pStyle w:val="NormalWeb"/>
        <w:spacing w:beforeAutospacing="0" w:afterAutospacing="0" w:line="210" w:lineRule="atLeast"/>
        <w:jc w:val="center"/>
        <w:rPr>
          <w:rFonts w:ascii="Arial" w:eastAsia="MS Mincho" w:hAnsi="Arial" w:cs="Arial"/>
          <w:b/>
          <w:szCs w:val="20"/>
          <w:u w:val="single"/>
          <w:lang w:val="pt-BR"/>
        </w:rPr>
      </w:pPr>
    </w:p>
    <w:p w14:paraId="2C7E5BE3" w14:textId="408D6454" w:rsidR="00E878FB" w:rsidRDefault="00C43B83">
      <w:pPr>
        <w:jc w:val="center"/>
        <w:rPr>
          <w:rFonts w:ascii="Arial" w:eastAsia="MS Mincho" w:hAnsi="Arial" w:cs="Arial"/>
          <w:b/>
          <w:sz w:val="22"/>
          <w:szCs w:val="22"/>
          <w:u w:val="single"/>
        </w:rPr>
      </w:pPr>
      <w:r>
        <w:rPr>
          <w:rFonts w:ascii="Arial" w:eastAsia="MS Mincho" w:hAnsi="Arial" w:cs="Arial"/>
          <w:b/>
          <w:sz w:val="22"/>
          <w:szCs w:val="22"/>
          <w:u w:val="single"/>
        </w:rPr>
        <w:t>ANEXO I</w:t>
      </w:r>
    </w:p>
    <w:p w14:paraId="64F2557E" w14:textId="77777777" w:rsidR="00E878FB" w:rsidRDefault="00E878FB">
      <w:pPr>
        <w:jc w:val="center"/>
        <w:rPr>
          <w:rFonts w:ascii="Arial" w:hAnsi="Arial" w:cs="Arial"/>
          <w:b/>
          <w:sz w:val="22"/>
          <w:szCs w:val="22"/>
        </w:rPr>
      </w:pPr>
    </w:p>
    <w:p w14:paraId="3442134A" w14:textId="77777777" w:rsidR="00E878FB" w:rsidRDefault="00C43B83">
      <w:pPr>
        <w:autoSpaceDE w:val="0"/>
        <w:jc w:val="center"/>
        <w:rPr>
          <w:rFonts w:ascii="Arial" w:eastAsia="Arial" w:hAnsi="Arial" w:cs="Arial"/>
          <w:b/>
          <w:bCs/>
          <w:sz w:val="22"/>
          <w:szCs w:val="22"/>
        </w:rPr>
      </w:pPr>
      <w:r>
        <w:rPr>
          <w:rFonts w:ascii="Arial" w:eastAsia="Arial" w:hAnsi="Arial" w:cs="Arial"/>
          <w:b/>
          <w:bCs/>
          <w:sz w:val="22"/>
          <w:szCs w:val="22"/>
        </w:rPr>
        <w:t>UNIVERSIDADE FEDERAL DE SÃO JOÃO DEL-REI/UFSJ</w:t>
      </w:r>
    </w:p>
    <w:p w14:paraId="70BB5B19" w14:textId="77777777" w:rsidR="00E878FB" w:rsidRDefault="00E878FB">
      <w:pPr>
        <w:jc w:val="center"/>
        <w:rPr>
          <w:rFonts w:ascii="Arial" w:hAnsi="Arial" w:cs="Arial"/>
          <w:b/>
          <w:sz w:val="22"/>
          <w:szCs w:val="22"/>
        </w:rPr>
      </w:pPr>
    </w:p>
    <w:p w14:paraId="0E78BFF5" w14:textId="77777777" w:rsidR="00E878FB" w:rsidRDefault="00C43B83">
      <w:pPr>
        <w:jc w:val="center"/>
        <w:rPr>
          <w:rFonts w:ascii="Arial" w:hAnsi="Arial" w:cs="Arial"/>
          <w:b/>
          <w:sz w:val="22"/>
          <w:szCs w:val="22"/>
        </w:rPr>
      </w:pPr>
      <w:r>
        <w:rPr>
          <w:rFonts w:ascii="Arial" w:hAnsi="Arial" w:cs="Arial"/>
          <w:b/>
          <w:sz w:val="22"/>
          <w:szCs w:val="22"/>
        </w:rPr>
        <w:t>TERMO DE REFERÊNCIA</w:t>
      </w:r>
    </w:p>
    <w:p w14:paraId="67E2064C" w14:textId="77777777" w:rsidR="00E878FB" w:rsidRDefault="00E878FB">
      <w:pPr>
        <w:rPr>
          <w:rFonts w:ascii="Arial" w:eastAsia="Times New Roman" w:hAnsi="Arial" w:cs="Arial"/>
          <w:sz w:val="20"/>
          <w:szCs w:val="20"/>
          <w:u w:val="single"/>
        </w:rPr>
      </w:pPr>
    </w:p>
    <w:p w14:paraId="392A98BB" w14:textId="77777777" w:rsidR="00E878FB" w:rsidRDefault="00E878FB">
      <w:pPr>
        <w:rPr>
          <w:rFonts w:ascii="Arial" w:eastAsia="Times New Roman" w:hAnsi="Arial" w:cs="Arial"/>
          <w:sz w:val="20"/>
          <w:szCs w:val="20"/>
          <w:u w:val="single"/>
        </w:rPr>
      </w:pPr>
    </w:p>
    <w:p w14:paraId="4E927499" w14:textId="77777777" w:rsidR="00E878FB" w:rsidRDefault="00E878FB">
      <w:pPr>
        <w:rPr>
          <w:rFonts w:ascii="Arial" w:eastAsia="Times New Roman" w:hAnsi="Arial" w:cs="Arial"/>
          <w:sz w:val="20"/>
          <w:szCs w:val="20"/>
          <w:u w:val="single"/>
        </w:rPr>
      </w:pPr>
    </w:p>
    <w:p w14:paraId="76B43081" w14:textId="77777777" w:rsidR="00E878FB" w:rsidRDefault="00C43B83">
      <w:pPr>
        <w:pStyle w:val="Nivel01"/>
        <w:numPr>
          <w:ilvl w:val="0"/>
          <w:numId w:val="4"/>
        </w:numPr>
        <w:spacing w:before="120" w:afterLines="120" w:after="288" w:line="312" w:lineRule="auto"/>
        <w:ind w:left="0" w:firstLine="0"/>
        <w:rPr>
          <w:rFonts w:eastAsia="Arial"/>
        </w:rPr>
      </w:pPr>
      <w:r>
        <w:t>CONDIÇÕES GERAIS DA CONTRATAÇÃO</w:t>
      </w:r>
    </w:p>
    <w:p w14:paraId="79B5C237" w14:textId="77777777" w:rsidR="00E878FB" w:rsidRDefault="00C43B83">
      <w:pPr>
        <w:pStyle w:val="Nivel2"/>
        <w:spacing w:afterLines="120" w:after="288" w:line="312" w:lineRule="auto"/>
        <w:ind w:left="0" w:hanging="6"/>
        <w:rPr>
          <w:b/>
          <w:bCs/>
        </w:rPr>
      </w:pPr>
      <w:r>
        <w:t>Aquisição de alimentos para animais, gênero de alimentação, animais para pesquisa e abate e materiais e medicamentos para uso veterinário</w:t>
      </w:r>
      <w:r>
        <w:rPr>
          <w:b/>
          <w:bCs/>
        </w:rPr>
        <w:t>,</w:t>
      </w:r>
      <w:r>
        <w:t xml:space="preserve"> nos termos da tabela abaixo, conforme condições e exigências estabelecidas neste instrumento.</w:t>
      </w:r>
    </w:p>
    <w:tbl>
      <w:tblPr>
        <w:tblW w:w="5000" w:type="pct"/>
        <w:tblCellMar>
          <w:left w:w="70" w:type="dxa"/>
          <w:right w:w="70" w:type="dxa"/>
        </w:tblCellMar>
        <w:tblLook w:val="04A0" w:firstRow="1" w:lastRow="0" w:firstColumn="1" w:lastColumn="0" w:noHBand="0" w:noVBand="1"/>
      </w:tblPr>
      <w:tblGrid>
        <w:gridCol w:w="572"/>
        <w:gridCol w:w="5509"/>
        <w:gridCol w:w="768"/>
        <w:gridCol w:w="679"/>
        <w:gridCol w:w="1076"/>
        <w:gridCol w:w="1272"/>
      </w:tblGrid>
      <w:tr w:rsidR="00E878FB" w14:paraId="4E50EEC8" w14:textId="77777777" w:rsidTr="00156804">
        <w:trPr>
          <w:trHeight w:val="663"/>
        </w:trPr>
        <w:tc>
          <w:tcPr>
            <w:tcW w:w="289" w:type="pct"/>
            <w:tcBorders>
              <w:top w:val="double" w:sz="6" w:space="0" w:color="auto"/>
              <w:left w:val="double" w:sz="6" w:space="0" w:color="auto"/>
              <w:bottom w:val="double" w:sz="6" w:space="0" w:color="auto"/>
              <w:right w:val="double" w:sz="6" w:space="0" w:color="auto"/>
            </w:tcBorders>
            <w:shd w:val="clear" w:color="auto" w:fill="auto"/>
            <w:vAlign w:val="center"/>
          </w:tcPr>
          <w:p w14:paraId="4CE8B3D6" w14:textId="77777777" w:rsidR="00E878FB" w:rsidRDefault="00C43B83">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Item </w:t>
            </w:r>
          </w:p>
        </w:tc>
        <w:tc>
          <w:tcPr>
            <w:tcW w:w="2789" w:type="pct"/>
            <w:tcBorders>
              <w:top w:val="double" w:sz="6" w:space="0" w:color="auto"/>
              <w:left w:val="nil"/>
              <w:bottom w:val="double" w:sz="6" w:space="0" w:color="auto"/>
              <w:right w:val="double" w:sz="6" w:space="0" w:color="auto"/>
            </w:tcBorders>
            <w:shd w:val="clear" w:color="auto" w:fill="auto"/>
            <w:vAlign w:val="center"/>
          </w:tcPr>
          <w:p w14:paraId="1647FC53" w14:textId="77777777" w:rsidR="00E878FB" w:rsidRDefault="00C43B83">
            <w:pPr>
              <w:jc w:val="center"/>
              <w:rPr>
                <w:rFonts w:ascii="Calibri" w:eastAsia="Times New Roman" w:hAnsi="Calibri" w:cs="Calibri"/>
                <w:b/>
                <w:bCs/>
                <w:sz w:val="16"/>
                <w:szCs w:val="16"/>
              </w:rPr>
            </w:pPr>
            <w:r>
              <w:rPr>
                <w:rFonts w:ascii="Calibri" w:eastAsia="Times New Roman" w:hAnsi="Calibri" w:cs="Calibri"/>
                <w:b/>
                <w:bCs/>
                <w:sz w:val="16"/>
                <w:szCs w:val="16"/>
              </w:rPr>
              <w:t>Especificação</w:t>
            </w:r>
          </w:p>
        </w:tc>
        <w:tc>
          <w:tcPr>
            <w:tcW w:w="389" w:type="pct"/>
            <w:tcBorders>
              <w:top w:val="double" w:sz="6" w:space="0" w:color="auto"/>
              <w:left w:val="nil"/>
              <w:bottom w:val="double" w:sz="6" w:space="0" w:color="auto"/>
              <w:right w:val="double" w:sz="6" w:space="0" w:color="auto"/>
            </w:tcBorders>
            <w:shd w:val="clear" w:color="auto" w:fill="auto"/>
            <w:vAlign w:val="center"/>
          </w:tcPr>
          <w:p w14:paraId="62A7BEFD" w14:textId="77777777" w:rsidR="00E878FB" w:rsidRDefault="00C43B83">
            <w:pPr>
              <w:jc w:val="center"/>
              <w:rPr>
                <w:rFonts w:ascii="Calibri" w:eastAsia="Times New Roman" w:hAnsi="Calibri" w:cs="Calibri"/>
                <w:b/>
                <w:bCs/>
                <w:sz w:val="16"/>
                <w:szCs w:val="16"/>
              </w:rPr>
            </w:pPr>
            <w:r>
              <w:rPr>
                <w:rFonts w:ascii="Calibri" w:eastAsia="Times New Roman" w:hAnsi="Calibri" w:cs="Calibri"/>
                <w:b/>
                <w:bCs/>
                <w:sz w:val="16"/>
                <w:szCs w:val="16"/>
              </w:rPr>
              <w:t> Quant.</w:t>
            </w:r>
          </w:p>
        </w:tc>
        <w:tc>
          <w:tcPr>
            <w:tcW w:w="344" w:type="pct"/>
            <w:tcBorders>
              <w:top w:val="double" w:sz="6" w:space="0" w:color="auto"/>
              <w:left w:val="nil"/>
              <w:bottom w:val="double" w:sz="6" w:space="0" w:color="auto"/>
              <w:right w:val="double" w:sz="6" w:space="0" w:color="auto"/>
            </w:tcBorders>
            <w:shd w:val="clear" w:color="auto" w:fill="auto"/>
            <w:vAlign w:val="center"/>
          </w:tcPr>
          <w:p w14:paraId="5856CAA6" w14:textId="77777777" w:rsidR="00E878FB" w:rsidRDefault="00C43B83">
            <w:pPr>
              <w:jc w:val="center"/>
              <w:rPr>
                <w:rFonts w:ascii="Calibri" w:eastAsia="Times New Roman" w:hAnsi="Calibri" w:cs="Calibri"/>
                <w:b/>
                <w:bCs/>
                <w:sz w:val="16"/>
                <w:szCs w:val="16"/>
              </w:rPr>
            </w:pPr>
            <w:r>
              <w:rPr>
                <w:rFonts w:ascii="Calibri" w:eastAsia="Times New Roman" w:hAnsi="Calibri" w:cs="Calibri"/>
                <w:b/>
                <w:bCs/>
                <w:sz w:val="16"/>
                <w:szCs w:val="16"/>
              </w:rPr>
              <w:t xml:space="preserve">Unid. </w:t>
            </w:r>
          </w:p>
        </w:tc>
        <w:tc>
          <w:tcPr>
            <w:tcW w:w="544" w:type="pct"/>
            <w:tcBorders>
              <w:top w:val="double" w:sz="6" w:space="0" w:color="auto"/>
              <w:left w:val="nil"/>
              <w:bottom w:val="double" w:sz="6" w:space="0" w:color="auto"/>
              <w:right w:val="double" w:sz="6" w:space="0" w:color="auto"/>
            </w:tcBorders>
            <w:shd w:val="clear" w:color="auto" w:fill="auto"/>
            <w:vAlign w:val="center"/>
          </w:tcPr>
          <w:p w14:paraId="14A91ADF" w14:textId="77777777" w:rsidR="00E878FB" w:rsidRDefault="00C43B83">
            <w:pPr>
              <w:jc w:val="center"/>
              <w:rPr>
                <w:rFonts w:ascii="Calibri" w:eastAsia="Times New Roman" w:hAnsi="Calibri" w:cs="Calibri"/>
                <w:b/>
                <w:bCs/>
                <w:sz w:val="16"/>
                <w:szCs w:val="16"/>
              </w:rPr>
            </w:pPr>
            <w:r>
              <w:rPr>
                <w:rFonts w:ascii="Calibri" w:eastAsia="Times New Roman" w:hAnsi="Calibri" w:cs="Calibri"/>
                <w:b/>
                <w:bCs/>
                <w:sz w:val="16"/>
                <w:szCs w:val="16"/>
              </w:rPr>
              <w:t>Média Unitário Estimado</w:t>
            </w:r>
          </w:p>
        </w:tc>
        <w:tc>
          <w:tcPr>
            <w:tcW w:w="644" w:type="pct"/>
            <w:tcBorders>
              <w:top w:val="double" w:sz="6" w:space="0" w:color="auto"/>
              <w:left w:val="nil"/>
              <w:bottom w:val="double" w:sz="6" w:space="0" w:color="auto"/>
              <w:right w:val="double" w:sz="6" w:space="0" w:color="auto"/>
            </w:tcBorders>
            <w:shd w:val="clear" w:color="auto" w:fill="auto"/>
            <w:vAlign w:val="center"/>
          </w:tcPr>
          <w:p w14:paraId="3678AB50" w14:textId="77777777" w:rsidR="00E878FB" w:rsidRDefault="00C43B83">
            <w:pPr>
              <w:jc w:val="center"/>
              <w:rPr>
                <w:rFonts w:ascii="Calibri" w:eastAsia="Times New Roman" w:hAnsi="Calibri" w:cs="Calibri"/>
                <w:b/>
                <w:bCs/>
                <w:sz w:val="16"/>
                <w:szCs w:val="16"/>
              </w:rPr>
            </w:pPr>
            <w:r>
              <w:rPr>
                <w:rFonts w:ascii="Calibri" w:eastAsia="Times New Roman" w:hAnsi="Calibri" w:cs="Calibri"/>
                <w:b/>
                <w:bCs/>
                <w:sz w:val="16"/>
                <w:szCs w:val="16"/>
              </w:rPr>
              <w:t>Média Total Estimado</w:t>
            </w:r>
          </w:p>
        </w:tc>
      </w:tr>
      <w:tr w:rsidR="00E878FB" w14:paraId="5A2576A9" w14:textId="77777777" w:rsidTr="00156804">
        <w:trPr>
          <w:trHeight w:val="465"/>
        </w:trPr>
        <w:tc>
          <w:tcPr>
            <w:tcW w:w="289" w:type="pct"/>
            <w:tcBorders>
              <w:top w:val="nil"/>
              <w:left w:val="double" w:sz="6" w:space="0" w:color="auto"/>
              <w:bottom w:val="single" w:sz="4" w:space="0" w:color="auto"/>
              <w:right w:val="single" w:sz="4" w:space="0" w:color="auto"/>
            </w:tcBorders>
            <w:shd w:val="clear" w:color="auto" w:fill="auto"/>
            <w:vAlign w:val="center"/>
          </w:tcPr>
          <w:p w14:paraId="11E55CE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1 </w:t>
            </w:r>
          </w:p>
        </w:tc>
        <w:tc>
          <w:tcPr>
            <w:tcW w:w="2789" w:type="pct"/>
            <w:tcBorders>
              <w:top w:val="nil"/>
              <w:left w:val="nil"/>
              <w:bottom w:val="single" w:sz="4" w:space="0" w:color="auto"/>
              <w:right w:val="single" w:sz="4" w:space="0" w:color="auto"/>
            </w:tcBorders>
            <w:shd w:val="clear" w:color="auto" w:fill="auto"/>
            <w:vAlign w:val="center"/>
          </w:tcPr>
          <w:p w14:paraId="2728DEA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AÇÚCAR, TIPO CRISTAL, COLORAÇÃO BRANCA, PRAZO DE VALIDADE MÍNIMA DE 12 MESES. PACOTE COM 5 KG </w:t>
            </w:r>
          </w:p>
        </w:tc>
        <w:tc>
          <w:tcPr>
            <w:tcW w:w="389" w:type="pct"/>
            <w:tcBorders>
              <w:top w:val="nil"/>
              <w:left w:val="nil"/>
              <w:bottom w:val="single" w:sz="4" w:space="0" w:color="auto"/>
              <w:right w:val="single" w:sz="4" w:space="0" w:color="auto"/>
            </w:tcBorders>
            <w:shd w:val="clear" w:color="auto" w:fill="auto"/>
            <w:vAlign w:val="center"/>
          </w:tcPr>
          <w:p w14:paraId="65F1BDD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44" w:type="pct"/>
            <w:tcBorders>
              <w:top w:val="single" w:sz="4" w:space="0" w:color="auto"/>
              <w:left w:val="nil"/>
              <w:bottom w:val="single" w:sz="4" w:space="0" w:color="auto"/>
              <w:right w:val="single" w:sz="4" w:space="0" w:color="auto"/>
            </w:tcBorders>
            <w:shd w:val="clear" w:color="auto" w:fill="auto"/>
            <w:vAlign w:val="center"/>
          </w:tcPr>
          <w:p w14:paraId="060D153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PCT</w:t>
            </w:r>
          </w:p>
        </w:tc>
        <w:tc>
          <w:tcPr>
            <w:tcW w:w="544" w:type="pct"/>
            <w:tcBorders>
              <w:top w:val="nil"/>
              <w:left w:val="nil"/>
              <w:bottom w:val="single" w:sz="4" w:space="0" w:color="auto"/>
              <w:right w:val="single" w:sz="4" w:space="0" w:color="auto"/>
            </w:tcBorders>
            <w:shd w:val="clear" w:color="auto" w:fill="auto"/>
            <w:noWrap/>
            <w:vAlign w:val="center"/>
          </w:tcPr>
          <w:p w14:paraId="3EF46BC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25,66 </w:t>
            </w:r>
          </w:p>
        </w:tc>
        <w:tc>
          <w:tcPr>
            <w:tcW w:w="644" w:type="pct"/>
            <w:tcBorders>
              <w:top w:val="nil"/>
              <w:left w:val="nil"/>
              <w:bottom w:val="single" w:sz="4" w:space="0" w:color="auto"/>
              <w:right w:val="single" w:sz="4" w:space="0" w:color="auto"/>
            </w:tcBorders>
            <w:shd w:val="clear" w:color="auto" w:fill="auto"/>
            <w:noWrap/>
            <w:vAlign w:val="center"/>
          </w:tcPr>
          <w:p w14:paraId="41D66D2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513,20 </w:t>
            </w:r>
          </w:p>
        </w:tc>
      </w:tr>
      <w:tr w:rsidR="00E878FB" w14:paraId="5DF80C62" w14:textId="77777777" w:rsidTr="00156804">
        <w:trPr>
          <w:trHeight w:val="474"/>
        </w:trPr>
        <w:tc>
          <w:tcPr>
            <w:tcW w:w="289" w:type="pct"/>
            <w:tcBorders>
              <w:top w:val="nil"/>
              <w:left w:val="double" w:sz="6" w:space="0" w:color="auto"/>
              <w:bottom w:val="single" w:sz="4" w:space="0" w:color="auto"/>
              <w:right w:val="single" w:sz="4" w:space="0" w:color="auto"/>
            </w:tcBorders>
            <w:shd w:val="clear" w:color="auto" w:fill="auto"/>
            <w:vAlign w:val="center"/>
          </w:tcPr>
          <w:p w14:paraId="6A460BE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2 </w:t>
            </w:r>
          </w:p>
        </w:tc>
        <w:tc>
          <w:tcPr>
            <w:tcW w:w="2789" w:type="pct"/>
            <w:tcBorders>
              <w:top w:val="nil"/>
              <w:left w:val="nil"/>
              <w:bottom w:val="single" w:sz="4" w:space="0" w:color="auto"/>
              <w:right w:val="single" w:sz="4" w:space="0" w:color="auto"/>
            </w:tcBorders>
            <w:shd w:val="clear" w:color="auto" w:fill="auto"/>
            <w:vAlign w:val="center"/>
          </w:tcPr>
          <w:p w14:paraId="1C43AD4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Água mineral, tipo sem gás, embalagem descartável, copo de 200 ml cada, prazo de validade mínima de 06 meses. Caixa com 48 unidades </w:t>
            </w:r>
          </w:p>
        </w:tc>
        <w:tc>
          <w:tcPr>
            <w:tcW w:w="389" w:type="pct"/>
            <w:tcBorders>
              <w:top w:val="nil"/>
              <w:left w:val="nil"/>
              <w:bottom w:val="single" w:sz="4" w:space="0" w:color="auto"/>
              <w:right w:val="single" w:sz="4" w:space="0" w:color="auto"/>
            </w:tcBorders>
            <w:shd w:val="clear" w:color="auto" w:fill="auto"/>
            <w:vAlign w:val="center"/>
          </w:tcPr>
          <w:p w14:paraId="6B5C63F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30</w:t>
            </w:r>
          </w:p>
        </w:tc>
        <w:tc>
          <w:tcPr>
            <w:tcW w:w="344" w:type="pct"/>
            <w:tcBorders>
              <w:top w:val="nil"/>
              <w:left w:val="nil"/>
              <w:bottom w:val="single" w:sz="4" w:space="0" w:color="auto"/>
              <w:right w:val="single" w:sz="4" w:space="0" w:color="auto"/>
            </w:tcBorders>
            <w:shd w:val="clear" w:color="auto" w:fill="auto"/>
            <w:vAlign w:val="center"/>
          </w:tcPr>
          <w:p w14:paraId="5275259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CX</w:t>
            </w:r>
          </w:p>
        </w:tc>
        <w:tc>
          <w:tcPr>
            <w:tcW w:w="544" w:type="pct"/>
            <w:tcBorders>
              <w:top w:val="nil"/>
              <w:left w:val="nil"/>
              <w:bottom w:val="single" w:sz="4" w:space="0" w:color="auto"/>
              <w:right w:val="single" w:sz="4" w:space="0" w:color="auto"/>
            </w:tcBorders>
            <w:shd w:val="clear" w:color="auto" w:fill="auto"/>
            <w:noWrap/>
            <w:vAlign w:val="center"/>
          </w:tcPr>
          <w:p w14:paraId="7330311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62,93 </w:t>
            </w:r>
          </w:p>
        </w:tc>
        <w:tc>
          <w:tcPr>
            <w:tcW w:w="644" w:type="pct"/>
            <w:tcBorders>
              <w:top w:val="nil"/>
              <w:left w:val="nil"/>
              <w:bottom w:val="single" w:sz="4" w:space="0" w:color="auto"/>
              <w:right w:val="single" w:sz="4" w:space="0" w:color="auto"/>
            </w:tcBorders>
            <w:shd w:val="clear" w:color="auto" w:fill="auto"/>
            <w:noWrap/>
            <w:vAlign w:val="center"/>
          </w:tcPr>
          <w:p w14:paraId="1AD7A59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1.887,90 </w:t>
            </w:r>
          </w:p>
        </w:tc>
      </w:tr>
      <w:tr w:rsidR="00E878FB" w14:paraId="0BF024DD" w14:textId="77777777" w:rsidTr="00156804">
        <w:trPr>
          <w:trHeight w:val="269"/>
        </w:trPr>
        <w:tc>
          <w:tcPr>
            <w:tcW w:w="289" w:type="pct"/>
            <w:tcBorders>
              <w:top w:val="nil"/>
              <w:left w:val="double" w:sz="6" w:space="0" w:color="auto"/>
              <w:bottom w:val="single" w:sz="4" w:space="0" w:color="auto"/>
              <w:right w:val="single" w:sz="4" w:space="0" w:color="auto"/>
            </w:tcBorders>
            <w:shd w:val="clear" w:color="auto" w:fill="auto"/>
            <w:vAlign w:val="center"/>
          </w:tcPr>
          <w:p w14:paraId="100001D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3 </w:t>
            </w:r>
          </w:p>
        </w:tc>
        <w:tc>
          <w:tcPr>
            <w:tcW w:w="2789" w:type="pct"/>
            <w:tcBorders>
              <w:top w:val="nil"/>
              <w:left w:val="nil"/>
              <w:bottom w:val="single" w:sz="4" w:space="0" w:color="auto"/>
              <w:right w:val="single" w:sz="4" w:space="0" w:color="auto"/>
            </w:tcBorders>
            <w:shd w:val="clear" w:color="auto" w:fill="auto"/>
            <w:vAlign w:val="center"/>
          </w:tcPr>
          <w:p w14:paraId="6B5360B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ALBENDAZOLE A 10% - 250ML - (Ex. PAN 10 ou de melhor qualidade)</w:t>
            </w:r>
          </w:p>
        </w:tc>
        <w:tc>
          <w:tcPr>
            <w:tcW w:w="389" w:type="pct"/>
            <w:tcBorders>
              <w:top w:val="nil"/>
              <w:left w:val="nil"/>
              <w:bottom w:val="single" w:sz="4" w:space="0" w:color="auto"/>
              <w:right w:val="single" w:sz="4" w:space="0" w:color="auto"/>
            </w:tcBorders>
            <w:shd w:val="clear" w:color="auto" w:fill="auto"/>
            <w:vAlign w:val="center"/>
          </w:tcPr>
          <w:p w14:paraId="78B1E42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44" w:type="pct"/>
            <w:tcBorders>
              <w:top w:val="nil"/>
              <w:left w:val="nil"/>
              <w:bottom w:val="single" w:sz="4" w:space="0" w:color="auto"/>
              <w:right w:val="single" w:sz="4" w:space="0" w:color="auto"/>
            </w:tcBorders>
            <w:shd w:val="clear" w:color="auto" w:fill="auto"/>
            <w:vAlign w:val="center"/>
          </w:tcPr>
          <w:p w14:paraId="5B8ABBA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744DEFE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26,45 </w:t>
            </w:r>
          </w:p>
        </w:tc>
        <w:tc>
          <w:tcPr>
            <w:tcW w:w="644" w:type="pct"/>
            <w:tcBorders>
              <w:top w:val="nil"/>
              <w:left w:val="nil"/>
              <w:bottom w:val="single" w:sz="4" w:space="0" w:color="auto"/>
              <w:right w:val="single" w:sz="4" w:space="0" w:color="auto"/>
            </w:tcBorders>
            <w:shd w:val="clear" w:color="auto" w:fill="auto"/>
            <w:noWrap/>
            <w:vAlign w:val="center"/>
          </w:tcPr>
          <w:p w14:paraId="6CF8480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264,50 </w:t>
            </w:r>
          </w:p>
        </w:tc>
      </w:tr>
      <w:tr w:rsidR="00E878FB" w14:paraId="3D84FE88" w14:textId="77777777" w:rsidTr="00156804">
        <w:trPr>
          <w:trHeight w:val="414"/>
        </w:trPr>
        <w:tc>
          <w:tcPr>
            <w:tcW w:w="289" w:type="pct"/>
            <w:tcBorders>
              <w:top w:val="nil"/>
              <w:left w:val="double" w:sz="6" w:space="0" w:color="auto"/>
              <w:bottom w:val="single" w:sz="4" w:space="0" w:color="auto"/>
              <w:right w:val="single" w:sz="4" w:space="0" w:color="auto"/>
            </w:tcBorders>
            <w:shd w:val="clear" w:color="auto" w:fill="auto"/>
            <w:vAlign w:val="center"/>
          </w:tcPr>
          <w:p w14:paraId="16C2F08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4 </w:t>
            </w:r>
          </w:p>
        </w:tc>
        <w:tc>
          <w:tcPr>
            <w:tcW w:w="2789" w:type="pct"/>
            <w:tcBorders>
              <w:top w:val="nil"/>
              <w:left w:val="nil"/>
              <w:bottom w:val="single" w:sz="4" w:space="0" w:color="auto"/>
              <w:right w:val="single" w:sz="4" w:space="0" w:color="auto"/>
            </w:tcBorders>
            <w:shd w:val="clear" w:color="auto" w:fill="auto"/>
            <w:vAlign w:val="center"/>
          </w:tcPr>
          <w:p w14:paraId="4F9328E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AMINOACIDO DL-METIONINA (DL-METHIONINE), APLICACAO, NUTRICAO ANIMAL, APRESENTACAO EM PO; PUREZA MINIMA DE 98,5% </w:t>
            </w:r>
          </w:p>
        </w:tc>
        <w:tc>
          <w:tcPr>
            <w:tcW w:w="389" w:type="pct"/>
            <w:tcBorders>
              <w:top w:val="nil"/>
              <w:left w:val="nil"/>
              <w:bottom w:val="single" w:sz="4" w:space="0" w:color="auto"/>
              <w:right w:val="single" w:sz="4" w:space="0" w:color="auto"/>
            </w:tcBorders>
            <w:shd w:val="clear" w:color="auto" w:fill="auto"/>
            <w:vAlign w:val="center"/>
          </w:tcPr>
          <w:p w14:paraId="5B947A3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44" w:type="pct"/>
            <w:tcBorders>
              <w:top w:val="nil"/>
              <w:left w:val="nil"/>
              <w:bottom w:val="single" w:sz="4" w:space="0" w:color="auto"/>
              <w:right w:val="single" w:sz="4" w:space="0" w:color="auto"/>
            </w:tcBorders>
            <w:shd w:val="clear" w:color="auto" w:fill="auto"/>
            <w:vAlign w:val="center"/>
          </w:tcPr>
          <w:p w14:paraId="6A222D9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3C3C7D0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55,45 </w:t>
            </w:r>
          </w:p>
        </w:tc>
        <w:tc>
          <w:tcPr>
            <w:tcW w:w="644" w:type="pct"/>
            <w:tcBorders>
              <w:top w:val="nil"/>
              <w:left w:val="nil"/>
              <w:bottom w:val="single" w:sz="4" w:space="0" w:color="auto"/>
              <w:right w:val="single" w:sz="4" w:space="0" w:color="auto"/>
            </w:tcBorders>
            <w:shd w:val="clear" w:color="auto" w:fill="auto"/>
            <w:noWrap/>
            <w:vAlign w:val="center"/>
          </w:tcPr>
          <w:p w14:paraId="7795810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1.386,25 </w:t>
            </w:r>
          </w:p>
        </w:tc>
      </w:tr>
      <w:tr w:rsidR="00E878FB" w14:paraId="28AA452C" w14:textId="77777777" w:rsidTr="00156804">
        <w:trPr>
          <w:trHeight w:val="562"/>
        </w:trPr>
        <w:tc>
          <w:tcPr>
            <w:tcW w:w="289" w:type="pct"/>
            <w:tcBorders>
              <w:top w:val="nil"/>
              <w:left w:val="double" w:sz="6" w:space="0" w:color="auto"/>
              <w:bottom w:val="single" w:sz="4" w:space="0" w:color="auto"/>
              <w:right w:val="single" w:sz="4" w:space="0" w:color="auto"/>
            </w:tcBorders>
            <w:shd w:val="clear" w:color="auto" w:fill="auto"/>
            <w:vAlign w:val="center"/>
          </w:tcPr>
          <w:p w14:paraId="3225786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5 </w:t>
            </w:r>
          </w:p>
        </w:tc>
        <w:tc>
          <w:tcPr>
            <w:tcW w:w="2789" w:type="pct"/>
            <w:tcBorders>
              <w:top w:val="nil"/>
              <w:left w:val="nil"/>
              <w:bottom w:val="single" w:sz="4" w:space="0" w:color="auto"/>
              <w:right w:val="single" w:sz="4" w:space="0" w:color="auto"/>
            </w:tcBorders>
            <w:shd w:val="clear" w:color="auto" w:fill="auto"/>
            <w:vAlign w:val="center"/>
          </w:tcPr>
          <w:p w14:paraId="6288EED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AMINOACIDO L-LISINA HCL (L-LYSINE HCL), APLICACAO: NUTRICAO ANIMAL, APRESENTACAO EM PO; PUREZA MINIMA DE 98,5%; COMPOSICAO (NIVEL DE GARANTIA) MINIMA DE L-LISINA (BASE) DE 78% </w:t>
            </w:r>
          </w:p>
        </w:tc>
        <w:tc>
          <w:tcPr>
            <w:tcW w:w="389" w:type="pct"/>
            <w:tcBorders>
              <w:top w:val="nil"/>
              <w:left w:val="nil"/>
              <w:bottom w:val="single" w:sz="4" w:space="0" w:color="auto"/>
              <w:right w:val="single" w:sz="4" w:space="0" w:color="auto"/>
            </w:tcBorders>
            <w:shd w:val="clear" w:color="auto" w:fill="auto"/>
            <w:vAlign w:val="center"/>
          </w:tcPr>
          <w:p w14:paraId="3A3EBB3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44" w:type="pct"/>
            <w:tcBorders>
              <w:top w:val="nil"/>
              <w:left w:val="nil"/>
              <w:bottom w:val="single" w:sz="4" w:space="0" w:color="auto"/>
              <w:right w:val="single" w:sz="4" w:space="0" w:color="auto"/>
            </w:tcBorders>
            <w:shd w:val="clear" w:color="auto" w:fill="auto"/>
            <w:vAlign w:val="center"/>
          </w:tcPr>
          <w:p w14:paraId="13A201E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492FE69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54,63 </w:t>
            </w:r>
          </w:p>
        </w:tc>
        <w:tc>
          <w:tcPr>
            <w:tcW w:w="644" w:type="pct"/>
            <w:tcBorders>
              <w:top w:val="nil"/>
              <w:left w:val="nil"/>
              <w:bottom w:val="single" w:sz="4" w:space="0" w:color="auto"/>
              <w:right w:val="single" w:sz="4" w:space="0" w:color="auto"/>
            </w:tcBorders>
            <w:shd w:val="clear" w:color="auto" w:fill="auto"/>
            <w:noWrap/>
            <w:vAlign w:val="center"/>
          </w:tcPr>
          <w:p w14:paraId="4DAE095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1.365,75 </w:t>
            </w:r>
          </w:p>
        </w:tc>
      </w:tr>
      <w:tr w:rsidR="00E878FB" w14:paraId="7D40EA70" w14:textId="77777777" w:rsidTr="00156804">
        <w:trPr>
          <w:trHeight w:val="812"/>
        </w:trPr>
        <w:tc>
          <w:tcPr>
            <w:tcW w:w="289" w:type="pct"/>
            <w:tcBorders>
              <w:top w:val="nil"/>
              <w:left w:val="double" w:sz="6" w:space="0" w:color="auto"/>
              <w:bottom w:val="single" w:sz="4" w:space="0" w:color="auto"/>
              <w:right w:val="single" w:sz="4" w:space="0" w:color="auto"/>
            </w:tcBorders>
            <w:shd w:val="clear" w:color="auto" w:fill="auto"/>
            <w:vAlign w:val="center"/>
          </w:tcPr>
          <w:p w14:paraId="272C83A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6 </w:t>
            </w:r>
          </w:p>
        </w:tc>
        <w:tc>
          <w:tcPr>
            <w:tcW w:w="2789" w:type="pct"/>
            <w:tcBorders>
              <w:top w:val="nil"/>
              <w:left w:val="nil"/>
              <w:bottom w:val="single" w:sz="4" w:space="0" w:color="auto"/>
              <w:right w:val="single" w:sz="4" w:space="0" w:color="auto"/>
            </w:tcBorders>
            <w:shd w:val="clear" w:color="auto" w:fill="auto"/>
            <w:vAlign w:val="center"/>
          </w:tcPr>
          <w:p w14:paraId="71C348E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ANTI-INFLAMATÓRIO INJETÁVEL MELOXICAM (2%L), USO VETERINÁRIO. SUSPENSÃO INJETÁVEL (CONCENTRAÇÃO DE MELOXICAM DE 2G/100 ML), COMPOSIÇÃO (POR 100 ML), MELOXICAM 2,0 G, VEÍCULO Q. S. P. 100,00 ML, EMBALAGENS COM VOLUME PADRONIZADO DE 50 ML </w:t>
            </w:r>
          </w:p>
        </w:tc>
        <w:tc>
          <w:tcPr>
            <w:tcW w:w="389" w:type="pct"/>
            <w:tcBorders>
              <w:top w:val="nil"/>
              <w:left w:val="nil"/>
              <w:bottom w:val="single" w:sz="4" w:space="0" w:color="auto"/>
              <w:right w:val="single" w:sz="4" w:space="0" w:color="auto"/>
            </w:tcBorders>
            <w:shd w:val="clear" w:color="auto" w:fill="auto"/>
            <w:vAlign w:val="center"/>
          </w:tcPr>
          <w:p w14:paraId="6BD0985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44" w:type="pct"/>
            <w:tcBorders>
              <w:top w:val="nil"/>
              <w:left w:val="nil"/>
              <w:bottom w:val="single" w:sz="4" w:space="0" w:color="auto"/>
              <w:right w:val="single" w:sz="4" w:space="0" w:color="auto"/>
            </w:tcBorders>
            <w:shd w:val="clear" w:color="auto" w:fill="auto"/>
            <w:vAlign w:val="center"/>
          </w:tcPr>
          <w:p w14:paraId="3C7113F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5917431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152,04 </w:t>
            </w:r>
          </w:p>
        </w:tc>
        <w:tc>
          <w:tcPr>
            <w:tcW w:w="644" w:type="pct"/>
            <w:tcBorders>
              <w:top w:val="nil"/>
              <w:left w:val="nil"/>
              <w:bottom w:val="single" w:sz="4" w:space="0" w:color="auto"/>
              <w:right w:val="single" w:sz="4" w:space="0" w:color="auto"/>
            </w:tcBorders>
            <w:shd w:val="clear" w:color="auto" w:fill="auto"/>
            <w:noWrap/>
            <w:vAlign w:val="center"/>
          </w:tcPr>
          <w:p w14:paraId="6C75C62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2.280,60 </w:t>
            </w:r>
          </w:p>
        </w:tc>
      </w:tr>
      <w:tr w:rsidR="00E878FB" w14:paraId="650CCD84" w14:textId="77777777" w:rsidTr="00156804">
        <w:trPr>
          <w:trHeight w:val="1136"/>
        </w:trPr>
        <w:tc>
          <w:tcPr>
            <w:tcW w:w="289" w:type="pct"/>
            <w:tcBorders>
              <w:top w:val="nil"/>
              <w:left w:val="double" w:sz="6" w:space="0" w:color="auto"/>
              <w:bottom w:val="single" w:sz="4" w:space="0" w:color="auto"/>
              <w:right w:val="single" w:sz="4" w:space="0" w:color="auto"/>
            </w:tcBorders>
            <w:shd w:val="clear" w:color="auto" w:fill="auto"/>
            <w:vAlign w:val="center"/>
          </w:tcPr>
          <w:p w14:paraId="3E6EC42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7 </w:t>
            </w:r>
          </w:p>
        </w:tc>
        <w:tc>
          <w:tcPr>
            <w:tcW w:w="2789" w:type="pct"/>
            <w:tcBorders>
              <w:top w:val="nil"/>
              <w:left w:val="nil"/>
              <w:bottom w:val="single" w:sz="4" w:space="0" w:color="auto"/>
              <w:right w:val="single" w:sz="4" w:space="0" w:color="auto"/>
            </w:tcBorders>
            <w:shd w:val="clear" w:color="auto" w:fill="auto"/>
            <w:vAlign w:val="center"/>
          </w:tcPr>
          <w:p w14:paraId="3A67AA3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ANTIBIÓTICO INJETÁVEL A BASE DE BENZILPENICILINA, SULFATO DE DIHIDROESTREPTOMICINA E PIROXICAM, USO VETERINÁRIO, SUSPENSÃO INJETÁVEL, COMPOSIÇÃO (POR 100 ML), BENZILPENICILINA G PROCAÍNA 10.000.000 UI, BENZILPENICILINA G BENZATINA, 10.000.000 UI, SULFATO DE DIHIDROESTREPTOMICINA, 10.500 MG, PIROXICAM 1.000 MG, VEÍCULO Q.S.P 100 ML, EMBALAGENS COM VOLUME PADRONIZADO DE 50 ML </w:t>
            </w:r>
          </w:p>
        </w:tc>
        <w:tc>
          <w:tcPr>
            <w:tcW w:w="389" w:type="pct"/>
            <w:tcBorders>
              <w:top w:val="nil"/>
              <w:left w:val="nil"/>
              <w:bottom w:val="single" w:sz="4" w:space="0" w:color="auto"/>
              <w:right w:val="single" w:sz="4" w:space="0" w:color="auto"/>
            </w:tcBorders>
            <w:shd w:val="clear" w:color="auto" w:fill="auto"/>
            <w:vAlign w:val="center"/>
          </w:tcPr>
          <w:p w14:paraId="35F9D39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44" w:type="pct"/>
            <w:tcBorders>
              <w:top w:val="nil"/>
              <w:left w:val="nil"/>
              <w:bottom w:val="single" w:sz="4" w:space="0" w:color="auto"/>
              <w:right w:val="single" w:sz="4" w:space="0" w:color="auto"/>
            </w:tcBorders>
            <w:shd w:val="clear" w:color="auto" w:fill="auto"/>
            <w:vAlign w:val="center"/>
          </w:tcPr>
          <w:p w14:paraId="4C3789B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09AA47D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79,33 </w:t>
            </w:r>
          </w:p>
        </w:tc>
        <w:tc>
          <w:tcPr>
            <w:tcW w:w="644" w:type="pct"/>
            <w:tcBorders>
              <w:top w:val="nil"/>
              <w:left w:val="nil"/>
              <w:bottom w:val="single" w:sz="4" w:space="0" w:color="auto"/>
              <w:right w:val="single" w:sz="4" w:space="0" w:color="auto"/>
            </w:tcBorders>
            <w:shd w:val="clear" w:color="auto" w:fill="auto"/>
            <w:noWrap/>
            <w:vAlign w:val="center"/>
          </w:tcPr>
          <w:p w14:paraId="64928BD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951,96 </w:t>
            </w:r>
          </w:p>
        </w:tc>
      </w:tr>
      <w:tr w:rsidR="00E878FB" w14:paraId="3E55873D" w14:textId="77777777" w:rsidTr="00156804">
        <w:trPr>
          <w:trHeight w:val="744"/>
        </w:trPr>
        <w:tc>
          <w:tcPr>
            <w:tcW w:w="289" w:type="pct"/>
            <w:tcBorders>
              <w:top w:val="nil"/>
              <w:left w:val="double" w:sz="6" w:space="0" w:color="auto"/>
              <w:bottom w:val="single" w:sz="4" w:space="0" w:color="auto"/>
              <w:right w:val="single" w:sz="4" w:space="0" w:color="auto"/>
            </w:tcBorders>
            <w:shd w:val="clear" w:color="auto" w:fill="auto"/>
            <w:vAlign w:val="center"/>
          </w:tcPr>
          <w:p w14:paraId="3735232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8 </w:t>
            </w:r>
          </w:p>
        </w:tc>
        <w:tc>
          <w:tcPr>
            <w:tcW w:w="2789" w:type="pct"/>
            <w:tcBorders>
              <w:top w:val="nil"/>
              <w:left w:val="nil"/>
              <w:bottom w:val="single" w:sz="4" w:space="0" w:color="auto"/>
              <w:right w:val="single" w:sz="4" w:space="0" w:color="auto"/>
            </w:tcBorders>
            <w:shd w:val="clear" w:color="auto" w:fill="auto"/>
            <w:vAlign w:val="center"/>
          </w:tcPr>
          <w:p w14:paraId="0C93A0F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ANTIBIÓTICO INJETÁVEL, SULFAMETOXAZOL (20%), USO VETERINÁRIO, SUSPENSÃO INJETÁVEL, COMPOSIÇÃO (POR 50 ML):SULFAMETOXAZOL 10 G, TRIMETOPRIM 2,0 G, VEÍCULO Q.S.P. 50 ML. EMBALAGENS COM VOLUME PADRONIZADO DE 50 ML </w:t>
            </w:r>
          </w:p>
        </w:tc>
        <w:tc>
          <w:tcPr>
            <w:tcW w:w="389" w:type="pct"/>
            <w:tcBorders>
              <w:top w:val="nil"/>
              <w:left w:val="nil"/>
              <w:bottom w:val="single" w:sz="4" w:space="0" w:color="auto"/>
              <w:right w:val="single" w:sz="4" w:space="0" w:color="auto"/>
            </w:tcBorders>
            <w:shd w:val="clear" w:color="auto" w:fill="auto"/>
            <w:vAlign w:val="center"/>
          </w:tcPr>
          <w:p w14:paraId="1691C90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44" w:type="pct"/>
            <w:tcBorders>
              <w:top w:val="nil"/>
              <w:left w:val="nil"/>
              <w:bottom w:val="single" w:sz="4" w:space="0" w:color="auto"/>
              <w:right w:val="single" w:sz="4" w:space="0" w:color="auto"/>
            </w:tcBorders>
            <w:shd w:val="clear" w:color="auto" w:fill="auto"/>
            <w:vAlign w:val="center"/>
          </w:tcPr>
          <w:p w14:paraId="71D9704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3DB514C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46,84 </w:t>
            </w:r>
          </w:p>
        </w:tc>
        <w:tc>
          <w:tcPr>
            <w:tcW w:w="644" w:type="pct"/>
            <w:tcBorders>
              <w:top w:val="nil"/>
              <w:left w:val="nil"/>
              <w:bottom w:val="single" w:sz="4" w:space="0" w:color="auto"/>
              <w:right w:val="single" w:sz="4" w:space="0" w:color="auto"/>
            </w:tcBorders>
            <w:shd w:val="clear" w:color="auto" w:fill="auto"/>
            <w:noWrap/>
            <w:vAlign w:val="center"/>
          </w:tcPr>
          <w:p w14:paraId="66EA1C8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562,08 </w:t>
            </w:r>
          </w:p>
        </w:tc>
      </w:tr>
      <w:tr w:rsidR="00E878FB" w14:paraId="3B7384BD" w14:textId="77777777" w:rsidTr="00156804">
        <w:trPr>
          <w:trHeight w:val="1096"/>
        </w:trPr>
        <w:tc>
          <w:tcPr>
            <w:tcW w:w="289" w:type="pct"/>
            <w:tcBorders>
              <w:top w:val="nil"/>
              <w:left w:val="double" w:sz="6" w:space="0" w:color="auto"/>
              <w:bottom w:val="single" w:sz="4" w:space="0" w:color="auto"/>
              <w:right w:val="single" w:sz="4" w:space="0" w:color="auto"/>
            </w:tcBorders>
            <w:shd w:val="clear" w:color="auto" w:fill="auto"/>
            <w:vAlign w:val="center"/>
          </w:tcPr>
          <w:p w14:paraId="7232165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9 </w:t>
            </w:r>
          </w:p>
        </w:tc>
        <w:tc>
          <w:tcPr>
            <w:tcW w:w="2789" w:type="pct"/>
            <w:tcBorders>
              <w:top w:val="nil"/>
              <w:left w:val="nil"/>
              <w:bottom w:val="single" w:sz="4" w:space="0" w:color="auto"/>
              <w:right w:val="single" w:sz="4" w:space="0" w:color="auto"/>
            </w:tcBorders>
            <w:shd w:val="clear" w:color="auto" w:fill="auto"/>
            <w:vAlign w:val="center"/>
          </w:tcPr>
          <w:p w14:paraId="068FBFA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ANTIBIÓTICO INTRAMAMÁRIO AMOXICILINA (200 MG/8 G), USO VETERINÁRIO, SUSPENSÃO INTRAMAMÁRIA, COMPOSIÇÃO (POR SERINGA DE 8 G), AMOXICILINA TRIHIDRATADA 200 MG, CLAVULANATO DE POTÁSSIO 50 MG, ACETATO DE PREDNISOLONA 10 MG, VEÍCULO OLEOSO Q. S. P. 8 G, APRESENTAÇÃO EM SERINGAS PARA APLICAÇÃO COM PESO PADRONIZADO DE 8 G </w:t>
            </w:r>
          </w:p>
        </w:tc>
        <w:tc>
          <w:tcPr>
            <w:tcW w:w="389" w:type="pct"/>
            <w:tcBorders>
              <w:top w:val="nil"/>
              <w:left w:val="nil"/>
              <w:bottom w:val="single" w:sz="4" w:space="0" w:color="auto"/>
              <w:right w:val="single" w:sz="4" w:space="0" w:color="auto"/>
            </w:tcBorders>
            <w:shd w:val="clear" w:color="auto" w:fill="auto"/>
            <w:vAlign w:val="center"/>
          </w:tcPr>
          <w:p w14:paraId="53B83E6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96</w:t>
            </w:r>
          </w:p>
        </w:tc>
        <w:tc>
          <w:tcPr>
            <w:tcW w:w="344" w:type="pct"/>
            <w:tcBorders>
              <w:top w:val="nil"/>
              <w:left w:val="nil"/>
              <w:bottom w:val="single" w:sz="4" w:space="0" w:color="auto"/>
              <w:right w:val="single" w:sz="4" w:space="0" w:color="auto"/>
            </w:tcBorders>
            <w:shd w:val="clear" w:color="auto" w:fill="auto"/>
            <w:vAlign w:val="center"/>
          </w:tcPr>
          <w:p w14:paraId="5E3F2CB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38A2676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26,03 </w:t>
            </w:r>
          </w:p>
        </w:tc>
        <w:tc>
          <w:tcPr>
            <w:tcW w:w="644" w:type="pct"/>
            <w:tcBorders>
              <w:top w:val="nil"/>
              <w:left w:val="nil"/>
              <w:bottom w:val="single" w:sz="4" w:space="0" w:color="auto"/>
              <w:right w:val="single" w:sz="4" w:space="0" w:color="auto"/>
            </w:tcBorders>
            <w:shd w:val="clear" w:color="auto" w:fill="auto"/>
            <w:noWrap/>
            <w:vAlign w:val="center"/>
          </w:tcPr>
          <w:p w14:paraId="4964CF5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2.498,88 </w:t>
            </w:r>
          </w:p>
        </w:tc>
      </w:tr>
      <w:tr w:rsidR="00E878FB" w14:paraId="537081A4" w14:textId="77777777" w:rsidTr="00156804">
        <w:trPr>
          <w:trHeight w:val="758"/>
        </w:trPr>
        <w:tc>
          <w:tcPr>
            <w:tcW w:w="289" w:type="pct"/>
            <w:tcBorders>
              <w:top w:val="nil"/>
              <w:left w:val="double" w:sz="6" w:space="0" w:color="auto"/>
              <w:bottom w:val="single" w:sz="4" w:space="0" w:color="auto"/>
              <w:right w:val="single" w:sz="4" w:space="0" w:color="auto"/>
            </w:tcBorders>
            <w:shd w:val="clear" w:color="auto" w:fill="auto"/>
            <w:vAlign w:val="center"/>
          </w:tcPr>
          <w:p w14:paraId="59B826B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10 </w:t>
            </w:r>
          </w:p>
        </w:tc>
        <w:tc>
          <w:tcPr>
            <w:tcW w:w="2789" w:type="pct"/>
            <w:tcBorders>
              <w:top w:val="nil"/>
              <w:left w:val="nil"/>
              <w:bottom w:val="single" w:sz="4" w:space="0" w:color="auto"/>
              <w:right w:val="single" w:sz="4" w:space="0" w:color="auto"/>
            </w:tcBorders>
            <w:shd w:val="clear" w:color="auto" w:fill="auto"/>
            <w:vAlign w:val="center"/>
          </w:tcPr>
          <w:p w14:paraId="08B2357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ANTIBIÓTICO, AEROSOL DE CLORIDRATO DE OXITETRACICLINA (6,8%), USO VETERINÁRIO, COMPOSIÇÃO (POR 100 ML): TERRAMICINA (CLORIDRATO DE OXITETRACICLINA) 6,8 G, HIDROCORTISONA 2,0 G, VEÍCULO Q.S.P. 100,0 ML, FRASCOS COM VOLUME PADRONIZADO DE 125 ML </w:t>
            </w:r>
          </w:p>
        </w:tc>
        <w:tc>
          <w:tcPr>
            <w:tcW w:w="389" w:type="pct"/>
            <w:tcBorders>
              <w:top w:val="nil"/>
              <w:left w:val="nil"/>
              <w:bottom w:val="single" w:sz="4" w:space="0" w:color="auto"/>
              <w:right w:val="single" w:sz="4" w:space="0" w:color="auto"/>
            </w:tcBorders>
            <w:shd w:val="clear" w:color="auto" w:fill="auto"/>
            <w:vAlign w:val="center"/>
          </w:tcPr>
          <w:p w14:paraId="37B8E64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44" w:type="pct"/>
            <w:tcBorders>
              <w:top w:val="nil"/>
              <w:left w:val="nil"/>
              <w:bottom w:val="single" w:sz="4" w:space="0" w:color="auto"/>
              <w:right w:val="single" w:sz="4" w:space="0" w:color="auto"/>
            </w:tcBorders>
            <w:shd w:val="clear" w:color="auto" w:fill="auto"/>
            <w:vAlign w:val="center"/>
          </w:tcPr>
          <w:p w14:paraId="4B67DEE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6AE02AD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38,08 </w:t>
            </w:r>
          </w:p>
        </w:tc>
        <w:tc>
          <w:tcPr>
            <w:tcW w:w="644" w:type="pct"/>
            <w:tcBorders>
              <w:top w:val="nil"/>
              <w:left w:val="nil"/>
              <w:bottom w:val="single" w:sz="4" w:space="0" w:color="auto"/>
              <w:right w:val="single" w:sz="4" w:space="0" w:color="auto"/>
            </w:tcBorders>
            <w:shd w:val="clear" w:color="auto" w:fill="auto"/>
            <w:noWrap/>
            <w:vAlign w:val="center"/>
          </w:tcPr>
          <w:p w14:paraId="34D7BCB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456,96 </w:t>
            </w:r>
          </w:p>
        </w:tc>
      </w:tr>
      <w:tr w:rsidR="00E878FB" w14:paraId="6CD1F886" w14:textId="77777777" w:rsidTr="00156804">
        <w:trPr>
          <w:trHeight w:val="771"/>
        </w:trPr>
        <w:tc>
          <w:tcPr>
            <w:tcW w:w="289" w:type="pct"/>
            <w:tcBorders>
              <w:top w:val="nil"/>
              <w:left w:val="double" w:sz="6" w:space="0" w:color="auto"/>
              <w:bottom w:val="single" w:sz="4" w:space="0" w:color="auto"/>
              <w:right w:val="single" w:sz="4" w:space="0" w:color="auto"/>
            </w:tcBorders>
            <w:shd w:val="clear" w:color="auto" w:fill="auto"/>
            <w:vAlign w:val="center"/>
          </w:tcPr>
          <w:p w14:paraId="1E2A486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11 </w:t>
            </w:r>
          </w:p>
        </w:tc>
        <w:tc>
          <w:tcPr>
            <w:tcW w:w="2789" w:type="pct"/>
            <w:tcBorders>
              <w:top w:val="nil"/>
              <w:left w:val="nil"/>
              <w:bottom w:val="single" w:sz="4" w:space="0" w:color="auto"/>
              <w:right w:val="single" w:sz="4" w:space="0" w:color="auto"/>
            </w:tcBorders>
            <w:shd w:val="clear" w:color="auto" w:fill="auto"/>
            <w:vAlign w:val="center"/>
          </w:tcPr>
          <w:p w14:paraId="5728200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ANTIBIÓTICO, INJETÁVEL, CEFTIOFUR (50 MG/ML), USO VETERINÁRIO, SUSPENSÃO INJETÁVEL (CONCENTRAÇÃO DE CEFTIOFUR DE 5%), COMPOSIÇÃO (POR 1 ML), CEFTIOFUR (CLORIDATO) 50,0 MG, VEÍCULO Q. S. P. 1,0 ML, EMBALAGENS COM VOLUME PADRONIZADO DE 100 ML </w:t>
            </w:r>
          </w:p>
        </w:tc>
        <w:tc>
          <w:tcPr>
            <w:tcW w:w="389" w:type="pct"/>
            <w:tcBorders>
              <w:top w:val="nil"/>
              <w:left w:val="nil"/>
              <w:bottom w:val="single" w:sz="4" w:space="0" w:color="auto"/>
              <w:right w:val="single" w:sz="4" w:space="0" w:color="auto"/>
            </w:tcBorders>
            <w:shd w:val="clear" w:color="auto" w:fill="auto"/>
            <w:vAlign w:val="center"/>
          </w:tcPr>
          <w:p w14:paraId="3961CED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18</w:t>
            </w:r>
          </w:p>
        </w:tc>
        <w:tc>
          <w:tcPr>
            <w:tcW w:w="344" w:type="pct"/>
            <w:tcBorders>
              <w:top w:val="nil"/>
              <w:left w:val="nil"/>
              <w:bottom w:val="single" w:sz="4" w:space="0" w:color="auto"/>
              <w:right w:val="single" w:sz="4" w:space="0" w:color="auto"/>
            </w:tcBorders>
            <w:shd w:val="clear" w:color="auto" w:fill="auto"/>
            <w:vAlign w:val="center"/>
          </w:tcPr>
          <w:p w14:paraId="7848D23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1CB5661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89,56 </w:t>
            </w:r>
          </w:p>
        </w:tc>
        <w:tc>
          <w:tcPr>
            <w:tcW w:w="644" w:type="pct"/>
            <w:tcBorders>
              <w:top w:val="nil"/>
              <w:left w:val="nil"/>
              <w:bottom w:val="single" w:sz="4" w:space="0" w:color="auto"/>
              <w:right w:val="single" w:sz="4" w:space="0" w:color="auto"/>
            </w:tcBorders>
            <w:shd w:val="clear" w:color="auto" w:fill="auto"/>
            <w:noWrap/>
            <w:vAlign w:val="center"/>
          </w:tcPr>
          <w:p w14:paraId="761A5F9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1.612,08 </w:t>
            </w:r>
          </w:p>
        </w:tc>
      </w:tr>
      <w:tr w:rsidR="00E878FB" w14:paraId="61107C6B" w14:textId="77777777" w:rsidTr="00156804">
        <w:trPr>
          <w:trHeight w:val="1198"/>
        </w:trPr>
        <w:tc>
          <w:tcPr>
            <w:tcW w:w="289" w:type="pct"/>
            <w:tcBorders>
              <w:top w:val="nil"/>
              <w:left w:val="double" w:sz="6" w:space="0" w:color="auto"/>
              <w:bottom w:val="single" w:sz="4" w:space="0" w:color="auto"/>
              <w:right w:val="single" w:sz="4" w:space="0" w:color="auto"/>
            </w:tcBorders>
            <w:shd w:val="clear" w:color="auto" w:fill="auto"/>
            <w:vAlign w:val="center"/>
          </w:tcPr>
          <w:p w14:paraId="4E38106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12 </w:t>
            </w:r>
          </w:p>
        </w:tc>
        <w:tc>
          <w:tcPr>
            <w:tcW w:w="2789" w:type="pct"/>
            <w:tcBorders>
              <w:top w:val="nil"/>
              <w:left w:val="nil"/>
              <w:bottom w:val="single" w:sz="4" w:space="0" w:color="auto"/>
              <w:right w:val="single" w:sz="4" w:space="0" w:color="auto"/>
            </w:tcBorders>
            <w:shd w:val="clear" w:color="auto" w:fill="auto"/>
            <w:vAlign w:val="center"/>
          </w:tcPr>
          <w:p w14:paraId="57DA5CF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ANTIBIÓTICO, POMADA COM PENICILINA G BENZATINA, PENICILINA G PROCAÍNA, DIHIDROESTREPTOMICINA (SULFATO) E UREIA, 2,50 G, USO VETERINÁRIO, USO TÓPICO, COMPOSIÇÃO (POR 50 G), PENICILINA G BENZATINA 1.250.000 UI, PENICILINA G PROCAÍNA 1.250.000 UI, DIHIDROESTREPTOMICINA (SULFATO) 1,25 G, UREIA 2,50 G, EXCIPIENTE Q.S.P.: 50 G - 50 ML </w:t>
            </w:r>
          </w:p>
        </w:tc>
        <w:tc>
          <w:tcPr>
            <w:tcW w:w="389" w:type="pct"/>
            <w:tcBorders>
              <w:top w:val="nil"/>
              <w:left w:val="nil"/>
              <w:bottom w:val="single" w:sz="4" w:space="0" w:color="auto"/>
              <w:right w:val="single" w:sz="4" w:space="0" w:color="auto"/>
            </w:tcBorders>
            <w:shd w:val="clear" w:color="auto" w:fill="auto"/>
            <w:vAlign w:val="center"/>
          </w:tcPr>
          <w:p w14:paraId="6F2E55B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w:t>
            </w:r>
          </w:p>
        </w:tc>
        <w:tc>
          <w:tcPr>
            <w:tcW w:w="344" w:type="pct"/>
            <w:tcBorders>
              <w:top w:val="nil"/>
              <w:left w:val="nil"/>
              <w:bottom w:val="single" w:sz="4" w:space="0" w:color="auto"/>
              <w:right w:val="single" w:sz="4" w:space="0" w:color="auto"/>
            </w:tcBorders>
            <w:shd w:val="clear" w:color="auto" w:fill="auto"/>
            <w:vAlign w:val="center"/>
          </w:tcPr>
          <w:p w14:paraId="5F9C08D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000C814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51,78 </w:t>
            </w:r>
          </w:p>
        </w:tc>
        <w:tc>
          <w:tcPr>
            <w:tcW w:w="644" w:type="pct"/>
            <w:tcBorders>
              <w:top w:val="nil"/>
              <w:left w:val="nil"/>
              <w:bottom w:val="single" w:sz="4" w:space="0" w:color="auto"/>
              <w:right w:val="single" w:sz="4" w:space="0" w:color="auto"/>
            </w:tcBorders>
            <w:shd w:val="clear" w:color="auto" w:fill="auto"/>
            <w:noWrap/>
            <w:vAlign w:val="center"/>
          </w:tcPr>
          <w:p w14:paraId="7AC7E10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310,68 </w:t>
            </w:r>
          </w:p>
        </w:tc>
      </w:tr>
      <w:tr w:rsidR="00E878FB" w14:paraId="59B6EEB2" w14:textId="77777777" w:rsidTr="00156804">
        <w:trPr>
          <w:trHeight w:val="986"/>
        </w:trPr>
        <w:tc>
          <w:tcPr>
            <w:tcW w:w="289" w:type="pct"/>
            <w:tcBorders>
              <w:top w:val="nil"/>
              <w:left w:val="double" w:sz="6" w:space="0" w:color="auto"/>
              <w:bottom w:val="single" w:sz="4" w:space="0" w:color="auto"/>
              <w:right w:val="single" w:sz="4" w:space="0" w:color="auto"/>
            </w:tcBorders>
            <w:shd w:val="clear" w:color="auto" w:fill="auto"/>
            <w:vAlign w:val="center"/>
          </w:tcPr>
          <w:p w14:paraId="5082093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13 </w:t>
            </w:r>
          </w:p>
        </w:tc>
        <w:tc>
          <w:tcPr>
            <w:tcW w:w="2789" w:type="pct"/>
            <w:tcBorders>
              <w:top w:val="nil"/>
              <w:left w:val="nil"/>
              <w:bottom w:val="single" w:sz="4" w:space="0" w:color="auto"/>
              <w:right w:val="single" w:sz="4" w:space="0" w:color="auto"/>
            </w:tcBorders>
            <w:shd w:val="clear" w:color="auto" w:fill="auto"/>
            <w:vAlign w:val="center"/>
          </w:tcPr>
          <w:p w14:paraId="27A9200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ANTICOCCIDIANO ORAL TOLTRAZURIL (5%), USO VETERINÁRIO, SUSPENSÃO ORAL (CONCENTRAÇÃO DE TOLTRAZURIL DE 5%), COMPOSIÇÃO (POR 100 ML), TOLTRAZURIL 5 G, VEÍCULO Q. S. P. 100 ML,APRESENTAÇÃO EM EMBALAGENS COM VOLUME PADRONIZADO DE 1,0 L </w:t>
            </w:r>
          </w:p>
        </w:tc>
        <w:tc>
          <w:tcPr>
            <w:tcW w:w="389" w:type="pct"/>
            <w:tcBorders>
              <w:top w:val="nil"/>
              <w:left w:val="nil"/>
              <w:bottom w:val="single" w:sz="4" w:space="0" w:color="auto"/>
              <w:right w:val="single" w:sz="4" w:space="0" w:color="auto"/>
            </w:tcBorders>
            <w:shd w:val="clear" w:color="auto" w:fill="auto"/>
            <w:vAlign w:val="center"/>
          </w:tcPr>
          <w:p w14:paraId="1E3DC51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344" w:type="pct"/>
            <w:tcBorders>
              <w:top w:val="nil"/>
              <w:left w:val="nil"/>
              <w:bottom w:val="single" w:sz="4" w:space="0" w:color="auto"/>
              <w:right w:val="single" w:sz="4" w:space="0" w:color="auto"/>
            </w:tcBorders>
            <w:shd w:val="clear" w:color="auto" w:fill="auto"/>
            <w:vAlign w:val="center"/>
          </w:tcPr>
          <w:p w14:paraId="42BDFCE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0D9D3BE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1.104,80 </w:t>
            </w:r>
          </w:p>
        </w:tc>
        <w:tc>
          <w:tcPr>
            <w:tcW w:w="644" w:type="pct"/>
            <w:tcBorders>
              <w:top w:val="nil"/>
              <w:left w:val="nil"/>
              <w:bottom w:val="single" w:sz="4" w:space="0" w:color="auto"/>
              <w:right w:val="single" w:sz="4" w:space="0" w:color="auto"/>
            </w:tcBorders>
            <w:shd w:val="clear" w:color="auto" w:fill="auto"/>
            <w:noWrap/>
            <w:vAlign w:val="center"/>
          </w:tcPr>
          <w:p w14:paraId="6410206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2.209,60 </w:t>
            </w:r>
          </w:p>
        </w:tc>
      </w:tr>
      <w:tr w:rsidR="00E878FB" w14:paraId="2D3EDEF7" w14:textId="77777777" w:rsidTr="00156804">
        <w:trPr>
          <w:trHeight w:val="702"/>
        </w:trPr>
        <w:tc>
          <w:tcPr>
            <w:tcW w:w="289" w:type="pct"/>
            <w:tcBorders>
              <w:top w:val="nil"/>
              <w:left w:val="double" w:sz="6" w:space="0" w:color="auto"/>
              <w:bottom w:val="single" w:sz="4" w:space="0" w:color="auto"/>
              <w:right w:val="single" w:sz="4" w:space="0" w:color="auto"/>
            </w:tcBorders>
            <w:shd w:val="clear" w:color="auto" w:fill="auto"/>
            <w:vAlign w:val="center"/>
          </w:tcPr>
          <w:p w14:paraId="59F00B1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14 </w:t>
            </w:r>
          </w:p>
        </w:tc>
        <w:tc>
          <w:tcPr>
            <w:tcW w:w="2789" w:type="pct"/>
            <w:tcBorders>
              <w:top w:val="nil"/>
              <w:left w:val="nil"/>
              <w:bottom w:val="single" w:sz="4" w:space="0" w:color="auto"/>
              <w:right w:val="single" w:sz="4" w:space="0" w:color="auto"/>
            </w:tcBorders>
            <w:shd w:val="clear" w:color="auto" w:fill="auto"/>
            <w:vAlign w:val="center"/>
          </w:tcPr>
          <w:p w14:paraId="68E7395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ANTIPARASITÁRIO AEROSOL, USO VETERINÁRIO, COMPOSIÇÃO (POR 100 G): SULFADIAZINA PRATA 0,10 G, ALUMÍNIO 5,00 G, DDVP 1,60 G, CIPERMETRINA 0,40 G, EXCIPIENTE Q.S.P 100,00 G. FRASCOS COM VOLUME PADRONIZADO DE 500 ML </w:t>
            </w:r>
          </w:p>
        </w:tc>
        <w:tc>
          <w:tcPr>
            <w:tcW w:w="389" w:type="pct"/>
            <w:tcBorders>
              <w:top w:val="nil"/>
              <w:left w:val="nil"/>
              <w:bottom w:val="single" w:sz="4" w:space="0" w:color="auto"/>
              <w:right w:val="single" w:sz="4" w:space="0" w:color="auto"/>
            </w:tcBorders>
            <w:shd w:val="clear" w:color="auto" w:fill="auto"/>
            <w:vAlign w:val="center"/>
          </w:tcPr>
          <w:p w14:paraId="098EB3D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13</w:t>
            </w:r>
          </w:p>
        </w:tc>
        <w:tc>
          <w:tcPr>
            <w:tcW w:w="344" w:type="pct"/>
            <w:tcBorders>
              <w:top w:val="nil"/>
              <w:left w:val="nil"/>
              <w:bottom w:val="single" w:sz="4" w:space="0" w:color="auto"/>
              <w:right w:val="single" w:sz="4" w:space="0" w:color="auto"/>
            </w:tcBorders>
            <w:shd w:val="clear" w:color="auto" w:fill="auto"/>
            <w:vAlign w:val="center"/>
          </w:tcPr>
          <w:p w14:paraId="429609A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10FD67F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37,17 </w:t>
            </w:r>
          </w:p>
        </w:tc>
        <w:tc>
          <w:tcPr>
            <w:tcW w:w="644" w:type="pct"/>
            <w:tcBorders>
              <w:top w:val="nil"/>
              <w:left w:val="nil"/>
              <w:bottom w:val="single" w:sz="4" w:space="0" w:color="auto"/>
              <w:right w:val="single" w:sz="4" w:space="0" w:color="auto"/>
            </w:tcBorders>
            <w:shd w:val="clear" w:color="auto" w:fill="auto"/>
            <w:noWrap/>
            <w:vAlign w:val="center"/>
          </w:tcPr>
          <w:p w14:paraId="648A6B2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483,21 </w:t>
            </w:r>
          </w:p>
        </w:tc>
      </w:tr>
      <w:tr w:rsidR="00E878FB" w14:paraId="39F29F0B" w14:textId="77777777" w:rsidTr="00156804">
        <w:trPr>
          <w:trHeight w:val="1054"/>
        </w:trPr>
        <w:tc>
          <w:tcPr>
            <w:tcW w:w="289" w:type="pct"/>
            <w:tcBorders>
              <w:top w:val="nil"/>
              <w:left w:val="double" w:sz="6" w:space="0" w:color="auto"/>
              <w:bottom w:val="single" w:sz="4" w:space="0" w:color="auto"/>
              <w:right w:val="single" w:sz="4" w:space="0" w:color="auto"/>
            </w:tcBorders>
            <w:shd w:val="clear" w:color="auto" w:fill="auto"/>
            <w:vAlign w:val="center"/>
          </w:tcPr>
          <w:p w14:paraId="5FFC6AF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15 </w:t>
            </w:r>
          </w:p>
        </w:tc>
        <w:tc>
          <w:tcPr>
            <w:tcW w:w="2789" w:type="pct"/>
            <w:tcBorders>
              <w:top w:val="nil"/>
              <w:left w:val="nil"/>
              <w:bottom w:val="single" w:sz="4" w:space="0" w:color="auto"/>
              <w:right w:val="single" w:sz="4" w:space="0" w:color="auto"/>
            </w:tcBorders>
            <w:shd w:val="clear" w:color="auto" w:fill="auto"/>
            <w:vAlign w:val="center"/>
          </w:tcPr>
          <w:p w14:paraId="71A1742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ANTIPARASITÁRIO EM GEL PARA EQUINOS, A BASE DE IVERMECTINA E PRAZIQUANTEL, COMPOSIÇÃO (POR 9,60 G): IVERMECTINA 0,120 G, PRAZIQUANTEL 1,500 G, VITAMINA E 0,600 G, EXCIPIENTE Q.S.P 9,600 G. APRESENTAÇÃO EM SERINGAS COM PESO PADRONIZADO DE 9,6 G. UNIDADE: SERINGA (9,6 G) </w:t>
            </w:r>
          </w:p>
        </w:tc>
        <w:tc>
          <w:tcPr>
            <w:tcW w:w="389" w:type="pct"/>
            <w:tcBorders>
              <w:top w:val="nil"/>
              <w:left w:val="nil"/>
              <w:bottom w:val="single" w:sz="4" w:space="0" w:color="auto"/>
              <w:right w:val="single" w:sz="4" w:space="0" w:color="auto"/>
            </w:tcBorders>
            <w:shd w:val="clear" w:color="auto" w:fill="auto"/>
            <w:vAlign w:val="center"/>
          </w:tcPr>
          <w:p w14:paraId="59F0F85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p>
        </w:tc>
        <w:tc>
          <w:tcPr>
            <w:tcW w:w="344" w:type="pct"/>
            <w:tcBorders>
              <w:top w:val="nil"/>
              <w:left w:val="nil"/>
              <w:bottom w:val="single" w:sz="4" w:space="0" w:color="auto"/>
              <w:right w:val="single" w:sz="4" w:space="0" w:color="auto"/>
            </w:tcBorders>
            <w:shd w:val="clear" w:color="auto" w:fill="auto"/>
            <w:vAlign w:val="center"/>
          </w:tcPr>
          <w:p w14:paraId="0C751B0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039A65B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29,50 </w:t>
            </w:r>
          </w:p>
        </w:tc>
        <w:tc>
          <w:tcPr>
            <w:tcW w:w="644" w:type="pct"/>
            <w:tcBorders>
              <w:top w:val="nil"/>
              <w:left w:val="nil"/>
              <w:bottom w:val="single" w:sz="4" w:space="0" w:color="auto"/>
              <w:right w:val="single" w:sz="4" w:space="0" w:color="auto"/>
            </w:tcBorders>
            <w:shd w:val="clear" w:color="auto" w:fill="auto"/>
            <w:noWrap/>
            <w:vAlign w:val="center"/>
          </w:tcPr>
          <w:p w14:paraId="553DABB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708,00 </w:t>
            </w:r>
          </w:p>
        </w:tc>
      </w:tr>
      <w:tr w:rsidR="00E878FB" w14:paraId="0D65E80A" w14:textId="77777777" w:rsidTr="00156804">
        <w:trPr>
          <w:trHeight w:val="828"/>
        </w:trPr>
        <w:tc>
          <w:tcPr>
            <w:tcW w:w="289" w:type="pct"/>
            <w:tcBorders>
              <w:top w:val="nil"/>
              <w:left w:val="double" w:sz="6" w:space="0" w:color="auto"/>
              <w:bottom w:val="single" w:sz="4" w:space="0" w:color="auto"/>
              <w:right w:val="single" w:sz="4" w:space="0" w:color="auto"/>
            </w:tcBorders>
            <w:shd w:val="clear" w:color="auto" w:fill="auto"/>
            <w:vAlign w:val="center"/>
          </w:tcPr>
          <w:p w14:paraId="2BCC4EF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16 </w:t>
            </w:r>
          </w:p>
        </w:tc>
        <w:tc>
          <w:tcPr>
            <w:tcW w:w="2789" w:type="pct"/>
            <w:tcBorders>
              <w:top w:val="nil"/>
              <w:left w:val="nil"/>
              <w:bottom w:val="single" w:sz="4" w:space="0" w:color="auto"/>
              <w:right w:val="single" w:sz="4" w:space="0" w:color="auto"/>
            </w:tcBorders>
            <w:shd w:val="clear" w:color="auto" w:fill="auto"/>
            <w:vAlign w:val="center"/>
          </w:tcPr>
          <w:p w14:paraId="57FE887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ANTISSÉPITICO, AEROSOL MONOMETILOL DIMETIL HIDANTOÍNA (27,5%), USO VETERINÁRIO, COMPOSIÇÃO (POR 100 ML): M.M.D.H.(MONOMETILOL DIMETIL HIDANTOÍNA) 27,5 G, VEÍCULO Q.S.P. 100,0 ML, PROPELENTES: BUTANO, PROPANO (90:10), FRASCOS COM VOLUME PADRONIZADO DE 400 ML </w:t>
            </w:r>
          </w:p>
        </w:tc>
        <w:tc>
          <w:tcPr>
            <w:tcW w:w="389" w:type="pct"/>
            <w:tcBorders>
              <w:top w:val="nil"/>
              <w:left w:val="nil"/>
              <w:bottom w:val="single" w:sz="4" w:space="0" w:color="auto"/>
              <w:right w:val="single" w:sz="4" w:space="0" w:color="auto"/>
            </w:tcBorders>
            <w:shd w:val="clear" w:color="auto" w:fill="auto"/>
            <w:vAlign w:val="center"/>
          </w:tcPr>
          <w:p w14:paraId="5AC6072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8</w:t>
            </w:r>
          </w:p>
        </w:tc>
        <w:tc>
          <w:tcPr>
            <w:tcW w:w="344" w:type="pct"/>
            <w:tcBorders>
              <w:top w:val="nil"/>
              <w:left w:val="nil"/>
              <w:bottom w:val="single" w:sz="4" w:space="0" w:color="auto"/>
              <w:right w:val="single" w:sz="4" w:space="0" w:color="auto"/>
            </w:tcBorders>
            <w:shd w:val="clear" w:color="auto" w:fill="auto"/>
            <w:vAlign w:val="center"/>
          </w:tcPr>
          <w:p w14:paraId="7A0E7AA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1883433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93,08 </w:t>
            </w:r>
          </w:p>
        </w:tc>
        <w:tc>
          <w:tcPr>
            <w:tcW w:w="644" w:type="pct"/>
            <w:tcBorders>
              <w:top w:val="nil"/>
              <w:left w:val="nil"/>
              <w:bottom w:val="single" w:sz="4" w:space="0" w:color="auto"/>
              <w:right w:val="single" w:sz="4" w:space="0" w:color="auto"/>
            </w:tcBorders>
            <w:shd w:val="clear" w:color="auto" w:fill="auto"/>
            <w:noWrap/>
            <w:vAlign w:val="center"/>
          </w:tcPr>
          <w:p w14:paraId="7EB5540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744,64 </w:t>
            </w:r>
          </w:p>
        </w:tc>
      </w:tr>
      <w:tr w:rsidR="00E878FB" w14:paraId="57C8CD5C" w14:textId="77777777" w:rsidTr="00156804">
        <w:trPr>
          <w:trHeight w:val="559"/>
        </w:trPr>
        <w:tc>
          <w:tcPr>
            <w:tcW w:w="289" w:type="pct"/>
            <w:tcBorders>
              <w:top w:val="nil"/>
              <w:left w:val="double" w:sz="6" w:space="0" w:color="auto"/>
              <w:bottom w:val="single" w:sz="4" w:space="0" w:color="auto"/>
              <w:right w:val="single" w:sz="4" w:space="0" w:color="auto"/>
            </w:tcBorders>
            <w:shd w:val="clear" w:color="auto" w:fill="auto"/>
            <w:vAlign w:val="center"/>
          </w:tcPr>
          <w:p w14:paraId="19838A6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17 </w:t>
            </w:r>
          </w:p>
        </w:tc>
        <w:tc>
          <w:tcPr>
            <w:tcW w:w="2789" w:type="pct"/>
            <w:tcBorders>
              <w:top w:val="nil"/>
              <w:left w:val="nil"/>
              <w:bottom w:val="single" w:sz="4" w:space="0" w:color="auto"/>
              <w:right w:val="single" w:sz="4" w:space="0" w:color="auto"/>
            </w:tcBorders>
            <w:shd w:val="clear" w:color="auto" w:fill="auto"/>
            <w:vAlign w:val="center"/>
          </w:tcPr>
          <w:p w14:paraId="66611876" w14:textId="77777777" w:rsidR="00E878FB" w:rsidRDefault="00C43B83">
            <w:pPr>
              <w:jc w:val="center"/>
              <w:rPr>
                <w:rFonts w:ascii="Calibri" w:eastAsia="Times New Roman" w:hAnsi="Calibri" w:cs="Calibri"/>
                <w:sz w:val="16"/>
                <w:szCs w:val="16"/>
              </w:rPr>
            </w:pPr>
            <w:r>
              <w:rPr>
                <w:rFonts w:ascii="Calibri" w:eastAsia="Times New Roman" w:hAnsi="Calibri" w:cs="Calibri"/>
                <w:sz w:val="16"/>
                <w:szCs w:val="16"/>
              </w:rPr>
              <w:t>BEBEDOURO PARA LABORATÓRIO, FRASCOS PLÁSTICOS DE POLIPROPILENO NATURAL, AUTOCLAVÁVEL, COM GRADUAÇÃO EM AUTO RELEVO, 250 ML BOCA LARGA, BICO DE BORRACHA </w:t>
            </w:r>
          </w:p>
        </w:tc>
        <w:tc>
          <w:tcPr>
            <w:tcW w:w="389" w:type="pct"/>
            <w:tcBorders>
              <w:top w:val="nil"/>
              <w:left w:val="nil"/>
              <w:bottom w:val="single" w:sz="4" w:space="0" w:color="auto"/>
              <w:right w:val="single" w:sz="4" w:space="0" w:color="auto"/>
            </w:tcBorders>
            <w:shd w:val="clear" w:color="auto" w:fill="auto"/>
            <w:vAlign w:val="center"/>
          </w:tcPr>
          <w:p w14:paraId="35F4438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200</w:t>
            </w:r>
          </w:p>
        </w:tc>
        <w:tc>
          <w:tcPr>
            <w:tcW w:w="344" w:type="pct"/>
            <w:tcBorders>
              <w:top w:val="nil"/>
              <w:left w:val="nil"/>
              <w:bottom w:val="single" w:sz="4" w:space="0" w:color="auto"/>
              <w:right w:val="single" w:sz="4" w:space="0" w:color="auto"/>
            </w:tcBorders>
            <w:shd w:val="clear" w:color="auto" w:fill="auto"/>
            <w:vAlign w:val="center"/>
          </w:tcPr>
          <w:p w14:paraId="76D06C8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34DFB3D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28,30 </w:t>
            </w:r>
          </w:p>
        </w:tc>
        <w:tc>
          <w:tcPr>
            <w:tcW w:w="644" w:type="pct"/>
            <w:tcBorders>
              <w:top w:val="nil"/>
              <w:left w:val="nil"/>
              <w:bottom w:val="single" w:sz="4" w:space="0" w:color="auto"/>
              <w:right w:val="single" w:sz="4" w:space="0" w:color="auto"/>
            </w:tcBorders>
            <w:shd w:val="clear" w:color="auto" w:fill="auto"/>
            <w:noWrap/>
            <w:vAlign w:val="center"/>
          </w:tcPr>
          <w:p w14:paraId="0502CEE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5.660,00 </w:t>
            </w:r>
          </w:p>
        </w:tc>
      </w:tr>
      <w:tr w:rsidR="00E878FB" w14:paraId="25A4C45E" w14:textId="77777777" w:rsidTr="00156804">
        <w:trPr>
          <w:trHeight w:val="383"/>
        </w:trPr>
        <w:tc>
          <w:tcPr>
            <w:tcW w:w="289" w:type="pct"/>
            <w:tcBorders>
              <w:top w:val="nil"/>
              <w:left w:val="double" w:sz="6" w:space="0" w:color="auto"/>
              <w:bottom w:val="single" w:sz="4" w:space="0" w:color="auto"/>
              <w:right w:val="single" w:sz="4" w:space="0" w:color="auto"/>
            </w:tcBorders>
            <w:shd w:val="clear" w:color="auto" w:fill="auto"/>
            <w:vAlign w:val="center"/>
          </w:tcPr>
          <w:p w14:paraId="4D7B20E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18 </w:t>
            </w:r>
          </w:p>
        </w:tc>
        <w:tc>
          <w:tcPr>
            <w:tcW w:w="2789" w:type="pct"/>
            <w:tcBorders>
              <w:top w:val="nil"/>
              <w:left w:val="nil"/>
              <w:bottom w:val="single" w:sz="4" w:space="0" w:color="auto"/>
              <w:right w:val="single" w:sz="4" w:space="0" w:color="auto"/>
            </w:tcBorders>
            <w:shd w:val="clear" w:color="auto" w:fill="auto"/>
            <w:vAlign w:val="center"/>
          </w:tcPr>
          <w:p w14:paraId="07AA3FFF" w14:textId="77777777" w:rsidR="00E878FB" w:rsidRDefault="00C43B83">
            <w:pPr>
              <w:jc w:val="center"/>
              <w:rPr>
                <w:rFonts w:ascii="Calibri" w:eastAsia="Times New Roman" w:hAnsi="Calibri" w:cs="Calibri"/>
                <w:sz w:val="16"/>
                <w:szCs w:val="16"/>
              </w:rPr>
            </w:pPr>
            <w:r>
              <w:rPr>
                <w:rFonts w:ascii="Calibri" w:eastAsia="Times New Roman" w:hAnsi="Calibri" w:cs="Calibri"/>
                <w:sz w:val="16"/>
                <w:szCs w:val="16"/>
              </w:rPr>
              <w:t>BEBEDOURO PARA LABORATÓRIO, FRASCOS PLASTICOS POLISULFONA, AUTOCLAVÁVEL, COM GRADUAÇÃO EM AUTO RELEVO, 400ML, BOCA LARGA, BICO EM AÇO INOX </w:t>
            </w:r>
          </w:p>
        </w:tc>
        <w:tc>
          <w:tcPr>
            <w:tcW w:w="389" w:type="pct"/>
            <w:tcBorders>
              <w:top w:val="nil"/>
              <w:left w:val="nil"/>
              <w:bottom w:val="single" w:sz="4" w:space="0" w:color="auto"/>
              <w:right w:val="single" w:sz="4" w:space="0" w:color="auto"/>
            </w:tcBorders>
            <w:shd w:val="clear" w:color="auto" w:fill="auto"/>
            <w:vAlign w:val="center"/>
          </w:tcPr>
          <w:p w14:paraId="2965D9B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200</w:t>
            </w:r>
          </w:p>
        </w:tc>
        <w:tc>
          <w:tcPr>
            <w:tcW w:w="344" w:type="pct"/>
            <w:tcBorders>
              <w:top w:val="nil"/>
              <w:left w:val="nil"/>
              <w:bottom w:val="single" w:sz="4" w:space="0" w:color="auto"/>
              <w:right w:val="single" w:sz="4" w:space="0" w:color="auto"/>
            </w:tcBorders>
            <w:shd w:val="clear" w:color="auto" w:fill="auto"/>
            <w:vAlign w:val="center"/>
          </w:tcPr>
          <w:p w14:paraId="435D8D7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77097F4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50,03 </w:t>
            </w:r>
          </w:p>
        </w:tc>
        <w:tc>
          <w:tcPr>
            <w:tcW w:w="644" w:type="pct"/>
            <w:tcBorders>
              <w:top w:val="nil"/>
              <w:left w:val="nil"/>
              <w:bottom w:val="single" w:sz="4" w:space="0" w:color="auto"/>
              <w:right w:val="single" w:sz="4" w:space="0" w:color="auto"/>
            </w:tcBorders>
            <w:shd w:val="clear" w:color="auto" w:fill="auto"/>
            <w:noWrap/>
            <w:vAlign w:val="center"/>
          </w:tcPr>
          <w:p w14:paraId="4264873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10.006,00 </w:t>
            </w:r>
          </w:p>
        </w:tc>
      </w:tr>
      <w:tr w:rsidR="00E878FB" w14:paraId="4A2A2CEB" w14:textId="77777777" w:rsidTr="00156804">
        <w:trPr>
          <w:trHeight w:val="675"/>
        </w:trPr>
        <w:tc>
          <w:tcPr>
            <w:tcW w:w="289" w:type="pct"/>
            <w:tcBorders>
              <w:top w:val="nil"/>
              <w:left w:val="double" w:sz="6" w:space="0" w:color="auto"/>
              <w:bottom w:val="single" w:sz="4" w:space="0" w:color="auto"/>
              <w:right w:val="single" w:sz="4" w:space="0" w:color="auto"/>
            </w:tcBorders>
            <w:shd w:val="clear" w:color="auto" w:fill="auto"/>
            <w:vAlign w:val="center"/>
          </w:tcPr>
          <w:p w14:paraId="3D0E0D2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19 </w:t>
            </w:r>
          </w:p>
        </w:tc>
        <w:tc>
          <w:tcPr>
            <w:tcW w:w="2789" w:type="pct"/>
            <w:tcBorders>
              <w:top w:val="nil"/>
              <w:left w:val="nil"/>
              <w:bottom w:val="single" w:sz="4" w:space="0" w:color="auto"/>
              <w:right w:val="single" w:sz="4" w:space="0" w:color="auto"/>
            </w:tcBorders>
            <w:shd w:val="clear" w:color="auto" w:fill="auto"/>
            <w:vAlign w:val="center"/>
          </w:tcPr>
          <w:p w14:paraId="5F1ABA0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BEBEDOURO PARA LABORATÓRIO, FRASCOS PLASTICOS POLISULFONA, AUTOCLAVÁVEL, COM GRADUAÇÃO EM AUTO RELEVO, 700ML, BOCA LARGA, BICO EM AÇO INOX </w:t>
            </w:r>
          </w:p>
        </w:tc>
        <w:tc>
          <w:tcPr>
            <w:tcW w:w="389" w:type="pct"/>
            <w:tcBorders>
              <w:top w:val="nil"/>
              <w:left w:val="nil"/>
              <w:bottom w:val="single" w:sz="4" w:space="0" w:color="auto"/>
              <w:right w:val="single" w:sz="4" w:space="0" w:color="auto"/>
            </w:tcBorders>
            <w:shd w:val="clear" w:color="auto" w:fill="auto"/>
            <w:vAlign w:val="center"/>
          </w:tcPr>
          <w:p w14:paraId="1F5F6ED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200</w:t>
            </w:r>
          </w:p>
        </w:tc>
        <w:tc>
          <w:tcPr>
            <w:tcW w:w="344" w:type="pct"/>
            <w:tcBorders>
              <w:top w:val="nil"/>
              <w:left w:val="nil"/>
              <w:bottom w:val="single" w:sz="4" w:space="0" w:color="auto"/>
              <w:right w:val="single" w:sz="4" w:space="0" w:color="auto"/>
            </w:tcBorders>
            <w:shd w:val="clear" w:color="auto" w:fill="auto"/>
            <w:vAlign w:val="center"/>
          </w:tcPr>
          <w:p w14:paraId="2B2D09B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79D9E3B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113,63 </w:t>
            </w:r>
          </w:p>
        </w:tc>
        <w:tc>
          <w:tcPr>
            <w:tcW w:w="644" w:type="pct"/>
            <w:tcBorders>
              <w:top w:val="nil"/>
              <w:left w:val="nil"/>
              <w:bottom w:val="single" w:sz="4" w:space="0" w:color="auto"/>
              <w:right w:val="single" w:sz="4" w:space="0" w:color="auto"/>
            </w:tcBorders>
            <w:shd w:val="clear" w:color="auto" w:fill="auto"/>
            <w:noWrap/>
            <w:vAlign w:val="center"/>
          </w:tcPr>
          <w:p w14:paraId="37015BC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22.726,00 </w:t>
            </w:r>
          </w:p>
        </w:tc>
      </w:tr>
      <w:tr w:rsidR="00E878FB" w14:paraId="1FF8F539"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4F0A0E7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20 </w:t>
            </w:r>
          </w:p>
        </w:tc>
        <w:tc>
          <w:tcPr>
            <w:tcW w:w="2789" w:type="pct"/>
            <w:tcBorders>
              <w:top w:val="nil"/>
              <w:left w:val="nil"/>
              <w:bottom w:val="single" w:sz="4" w:space="0" w:color="auto"/>
              <w:right w:val="single" w:sz="4" w:space="0" w:color="auto"/>
            </w:tcBorders>
            <w:shd w:val="clear" w:color="auto" w:fill="auto"/>
            <w:vAlign w:val="center"/>
          </w:tcPr>
          <w:p w14:paraId="4FDA801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CALCÁRIO CALCÍTICO - NUTRIÇÃO ANIMAL - SACOS DE 50KG COM PESOS PADRONIZADOS </w:t>
            </w:r>
          </w:p>
        </w:tc>
        <w:tc>
          <w:tcPr>
            <w:tcW w:w="389" w:type="pct"/>
            <w:tcBorders>
              <w:top w:val="nil"/>
              <w:left w:val="nil"/>
              <w:bottom w:val="single" w:sz="4" w:space="0" w:color="auto"/>
              <w:right w:val="single" w:sz="4" w:space="0" w:color="auto"/>
            </w:tcBorders>
            <w:shd w:val="clear" w:color="auto" w:fill="auto"/>
            <w:vAlign w:val="center"/>
          </w:tcPr>
          <w:p w14:paraId="0C70D26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700</w:t>
            </w:r>
          </w:p>
        </w:tc>
        <w:tc>
          <w:tcPr>
            <w:tcW w:w="344" w:type="pct"/>
            <w:tcBorders>
              <w:top w:val="nil"/>
              <w:left w:val="nil"/>
              <w:bottom w:val="single" w:sz="4" w:space="0" w:color="auto"/>
              <w:right w:val="single" w:sz="4" w:space="0" w:color="auto"/>
            </w:tcBorders>
            <w:shd w:val="clear" w:color="auto" w:fill="auto"/>
            <w:vAlign w:val="center"/>
          </w:tcPr>
          <w:p w14:paraId="5F45011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QUILO</w:t>
            </w:r>
          </w:p>
        </w:tc>
        <w:tc>
          <w:tcPr>
            <w:tcW w:w="544" w:type="pct"/>
            <w:tcBorders>
              <w:top w:val="nil"/>
              <w:left w:val="nil"/>
              <w:bottom w:val="single" w:sz="4" w:space="0" w:color="auto"/>
              <w:right w:val="single" w:sz="4" w:space="0" w:color="auto"/>
            </w:tcBorders>
            <w:shd w:val="clear" w:color="auto" w:fill="auto"/>
            <w:noWrap/>
            <w:vAlign w:val="center"/>
          </w:tcPr>
          <w:p w14:paraId="75481F0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2,65 </w:t>
            </w:r>
          </w:p>
        </w:tc>
        <w:tc>
          <w:tcPr>
            <w:tcW w:w="644" w:type="pct"/>
            <w:tcBorders>
              <w:top w:val="nil"/>
              <w:left w:val="nil"/>
              <w:bottom w:val="single" w:sz="4" w:space="0" w:color="auto"/>
              <w:right w:val="single" w:sz="4" w:space="0" w:color="auto"/>
            </w:tcBorders>
            <w:shd w:val="clear" w:color="auto" w:fill="auto"/>
            <w:noWrap/>
            <w:vAlign w:val="center"/>
          </w:tcPr>
          <w:p w14:paraId="6ADC496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1.855,00 </w:t>
            </w:r>
          </w:p>
        </w:tc>
      </w:tr>
      <w:tr w:rsidR="00E878FB" w14:paraId="66EB76FC" w14:textId="77777777" w:rsidTr="00156804">
        <w:trPr>
          <w:trHeight w:val="2180"/>
        </w:trPr>
        <w:tc>
          <w:tcPr>
            <w:tcW w:w="289" w:type="pct"/>
            <w:tcBorders>
              <w:top w:val="nil"/>
              <w:left w:val="double" w:sz="6" w:space="0" w:color="auto"/>
              <w:bottom w:val="single" w:sz="4" w:space="0" w:color="auto"/>
              <w:right w:val="single" w:sz="4" w:space="0" w:color="auto"/>
            </w:tcBorders>
            <w:shd w:val="clear" w:color="auto" w:fill="auto"/>
            <w:vAlign w:val="center"/>
          </w:tcPr>
          <w:p w14:paraId="2CE4487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21 </w:t>
            </w:r>
          </w:p>
        </w:tc>
        <w:tc>
          <w:tcPr>
            <w:tcW w:w="2789" w:type="pct"/>
            <w:tcBorders>
              <w:top w:val="nil"/>
              <w:left w:val="nil"/>
              <w:bottom w:val="single" w:sz="4" w:space="0" w:color="auto"/>
              <w:right w:val="single" w:sz="4" w:space="0" w:color="auto"/>
            </w:tcBorders>
            <w:shd w:val="clear" w:color="auto" w:fill="auto"/>
            <w:vAlign w:val="center"/>
          </w:tcPr>
          <w:p w14:paraId="4CBD2FB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Caprino da raça Saanen; macho reprodutor (bode ou cabrito) com idade de 12 a 18 meses, pelagem integralmente branca. Não deve apresentar manchas. O animal, bem como todos pais e avós devem ser registrados como puro de Origem (P. O.) por alguma associação estadual da raça SAANEN (credenciado à Associação Brasileira de Criadores de Caprinos; ABCC); deve ter chifres ou ser mochado; ser saudável, sem apresentar doenças; e apresentar atestado de exame andrológico e laudo de que está apto para reprodução, bem como atestado de saúde e vacinação contra clostridioses e linfadenite caseosa, emitidos por Médico Veterinário credenciado pelo CRMV. As despesas com os atestados do Médico Veterinário e com a guia oficial de transporte exigidos pelas agências oficiais de defesa sanitária devem estar inclusas </w:t>
            </w:r>
          </w:p>
        </w:tc>
        <w:tc>
          <w:tcPr>
            <w:tcW w:w="389" w:type="pct"/>
            <w:tcBorders>
              <w:top w:val="nil"/>
              <w:left w:val="nil"/>
              <w:bottom w:val="single" w:sz="4" w:space="0" w:color="auto"/>
              <w:right w:val="single" w:sz="4" w:space="0" w:color="auto"/>
            </w:tcBorders>
            <w:shd w:val="clear" w:color="auto" w:fill="auto"/>
            <w:vAlign w:val="center"/>
          </w:tcPr>
          <w:p w14:paraId="10DC263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344" w:type="pct"/>
            <w:tcBorders>
              <w:top w:val="nil"/>
              <w:left w:val="nil"/>
              <w:bottom w:val="single" w:sz="4" w:space="0" w:color="auto"/>
              <w:right w:val="single" w:sz="4" w:space="0" w:color="auto"/>
            </w:tcBorders>
            <w:shd w:val="clear" w:color="auto" w:fill="auto"/>
            <w:vAlign w:val="center"/>
          </w:tcPr>
          <w:p w14:paraId="68B308A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37601ED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15.333,33 </w:t>
            </w:r>
          </w:p>
        </w:tc>
        <w:tc>
          <w:tcPr>
            <w:tcW w:w="644" w:type="pct"/>
            <w:tcBorders>
              <w:top w:val="nil"/>
              <w:left w:val="nil"/>
              <w:bottom w:val="single" w:sz="4" w:space="0" w:color="auto"/>
              <w:right w:val="single" w:sz="4" w:space="0" w:color="auto"/>
            </w:tcBorders>
            <w:shd w:val="clear" w:color="auto" w:fill="auto"/>
            <w:noWrap/>
            <w:vAlign w:val="center"/>
          </w:tcPr>
          <w:p w14:paraId="7D8B5FE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30.666,66 </w:t>
            </w:r>
          </w:p>
        </w:tc>
      </w:tr>
      <w:tr w:rsidR="00E878FB" w14:paraId="3CC023C3" w14:textId="77777777" w:rsidTr="00156804">
        <w:trPr>
          <w:trHeight w:val="682"/>
        </w:trPr>
        <w:tc>
          <w:tcPr>
            <w:tcW w:w="289" w:type="pct"/>
            <w:tcBorders>
              <w:top w:val="nil"/>
              <w:left w:val="double" w:sz="6" w:space="0" w:color="auto"/>
              <w:bottom w:val="single" w:sz="4" w:space="0" w:color="auto"/>
              <w:right w:val="single" w:sz="4" w:space="0" w:color="auto"/>
            </w:tcBorders>
            <w:shd w:val="clear" w:color="auto" w:fill="auto"/>
            <w:vAlign w:val="center"/>
          </w:tcPr>
          <w:p w14:paraId="72409FC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22 </w:t>
            </w:r>
          </w:p>
        </w:tc>
        <w:tc>
          <w:tcPr>
            <w:tcW w:w="2789" w:type="pct"/>
            <w:tcBorders>
              <w:top w:val="nil"/>
              <w:left w:val="nil"/>
              <w:bottom w:val="single" w:sz="4" w:space="0" w:color="auto"/>
              <w:right w:val="single" w:sz="4" w:space="0" w:color="auto"/>
            </w:tcBorders>
            <w:shd w:val="clear" w:color="auto" w:fill="auto"/>
            <w:vAlign w:val="center"/>
          </w:tcPr>
          <w:p w14:paraId="343F57C9" w14:textId="77777777" w:rsidR="00E878FB" w:rsidRDefault="00C43B83">
            <w:pPr>
              <w:jc w:val="center"/>
              <w:rPr>
                <w:rFonts w:ascii="Calibri" w:eastAsia="Times New Roman" w:hAnsi="Calibri" w:cs="Calibri"/>
                <w:color w:val="000000"/>
                <w:sz w:val="16"/>
                <w:szCs w:val="16"/>
              </w:rPr>
            </w:pPr>
            <w:r>
              <w:rPr>
                <w:rFonts w:ascii="Calibri" w:eastAsia="Times New Roman" w:hAnsi="Calibri"/>
                <w:color w:val="000000"/>
                <w:sz w:val="16"/>
                <w:szCs w:val="16"/>
              </w:rPr>
              <w:t>Maravalha (palha) de madeira pinus elliote, especial, seca, não resinosa, obtida de madeira inodora e renovável, que não tenha sofrido prévio tratamento químico, livre de fontes contaminantes tipo inseticidas e outros, não oriunda de carpintaria, serrarias, móveis e outros. Em lascas de madeira com espessura de no máximo 1,0mm, na cor marfim, peneirada em peneira de fio 10, malha 8 livre de pó de serragens e outros, livre de insetos, fungos manchadores e/ou apodrecedores, deve promover alta absorção, preparada para ser utilizada especificamente em biotérios como forragem de caixas para criação de animais de laboratório, ratos e camundongos de pesquisa. Acondicionada em saco de polietileno(tipo rafia) de 80 litros, pesando aproximadamente 5kg, esterilizável em autoclave.</w:t>
            </w:r>
          </w:p>
        </w:tc>
        <w:tc>
          <w:tcPr>
            <w:tcW w:w="389" w:type="pct"/>
            <w:tcBorders>
              <w:top w:val="nil"/>
              <w:left w:val="nil"/>
              <w:bottom w:val="single" w:sz="4" w:space="0" w:color="auto"/>
              <w:right w:val="single" w:sz="4" w:space="0" w:color="auto"/>
            </w:tcBorders>
            <w:shd w:val="clear" w:color="auto" w:fill="auto"/>
            <w:vAlign w:val="center"/>
          </w:tcPr>
          <w:p w14:paraId="7D178B7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540</w:t>
            </w:r>
          </w:p>
        </w:tc>
        <w:tc>
          <w:tcPr>
            <w:tcW w:w="344" w:type="pct"/>
            <w:tcBorders>
              <w:top w:val="nil"/>
              <w:left w:val="nil"/>
              <w:bottom w:val="single" w:sz="4" w:space="0" w:color="auto"/>
              <w:right w:val="single" w:sz="4" w:space="0" w:color="auto"/>
            </w:tcBorders>
            <w:shd w:val="clear" w:color="auto" w:fill="auto"/>
            <w:vAlign w:val="center"/>
          </w:tcPr>
          <w:p w14:paraId="0B4E3F1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53D6BD0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55,44 </w:t>
            </w:r>
          </w:p>
        </w:tc>
        <w:tc>
          <w:tcPr>
            <w:tcW w:w="644" w:type="pct"/>
            <w:tcBorders>
              <w:top w:val="nil"/>
              <w:left w:val="nil"/>
              <w:bottom w:val="single" w:sz="4" w:space="0" w:color="auto"/>
              <w:right w:val="single" w:sz="4" w:space="0" w:color="auto"/>
            </w:tcBorders>
            <w:shd w:val="clear" w:color="auto" w:fill="auto"/>
            <w:noWrap/>
            <w:vAlign w:val="center"/>
          </w:tcPr>
          <w:p w14:paraId="701DA7E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29.937,60 </w:t>
            </w:r>
          </w:p>
        </w:tc>
      </w:tr>
      <w:tr w:rsidR="00E878FB" w14:paraId="73738BB7" w14:textId="77777777" w:rsidTr="00156804">
        <w:trPr>
          <w:trHeight w:val="483"/>
        </w:trPr>
        <w:tc>
          <w:tcPr>
            <w:tcW w:w="289" w:type="pct"/>
            <w:tcBorders>
              <w:top w:val="nil"/>
              <w:left w:val="double" w:sz="6" w:space="0" w:color="auto"/>
              <w:bottom w:val="single" w:sz="4" w:space="0" w:color="auto"/>
              <w:right w:val="single" w:sz="4" w:space="0" w:color="auto"/>
            </w:tcBorders>
            <w:shd w:val="clear" w:color="auto" w:fill="auto"/>
            <w:vAlign w:val="center"/>
          </w:tcPr>
          <w:p w14:paraId="3228C2A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23 </w:t>
            </w:r>
          </w:p>
        </w:tc>
        <w:tc>
          <w:tcPr>
            <w:tcW w:w="2789" w:type="pct"/>
            <w:tcBorders>
              <w:top w:val="nil"/>
              <w:left w:val="nil"/>
              <w:bottom w:val="single" w:sz="4" w:space="0" w:color="auto"/>
              <w:right w:val="single" w:sz="4" w:space="0" w:color="auto"/>
            </w:tcBorders>
            <w:shd w:val="clear" w:color="auto" w:fill="auto"/>
            <w:vAlign w:val="center"/>
          </w:tcPr>
          <w:p w14:paraId="60BFB60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CITRATO DE PIPERAZINA-TETRAHIDRATADO 28 G - USO VETERINÁRIO - (EQUIVALENTE A 36% DE PIPERAZINA BASE VERMÍFUGO SOLÚVEL PARA ANIMAIS) - (Ex. PROVERME ou de melhor qualidade).</w:t>
            </w:r>
          </w:p>
        </w:tc>
        <w:tc>
          <w:tcPr>
            <w:tcW w:w="389" w:type="pct"/>
            <w:tcBorders>
              <w:top w:val="nil"/>
              <w:left w:val="nil"/>
              <w:bottom w:val="single" w:sz="4" w:space="0" w:color="auto"/>
              <w:right w:val="single" w:sz="4" w:space="0" w:color="auto"/>
            </w:tcBorders>
            <w:shd w:val="clear" w:color="auto" w:fill="auto"/>
            <w:vAlign w:val="center"/>
          </w:tcPr>
          <w:p w14:paraId="35B77AC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200</w:t>
            </w:r>
          </w:p>
        </w:tc>
        <w:tc>
          <w:tcPr>
            <w:tcW w:w="344" w:type="pct"/>
            <w:tcBorders>
              <w:top w:val="nil"/>
              <w:left w:val="nil"/>
              <w:bottom w:val="single" w:sz="4" w:space="0" w:color="auto"/>
              <w:right w:val="single" w:sz="4" w:space="0" w:color="auto"/>
            </w:tcBorders>
            <w:shd w:val="clear" w:color="auto" w:fill="auto"/>
            <w:vAlign w:val="center"/>
          </w:tcPr>
          <w:p w14:paraId="5AEDA8F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6A76E31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8,65 </w:t>
            </w:r>
          </w:p>
        </w:tc>
        <w:tc>
          <w:tcPr>
            <w:tcW w:w="644" w:type="pct"/>
            <w:tcBorders>
              <w:top w:val="nil"/>
              <w:left w:val="nil"/>
              <w:bottom w:val="single" w:sz="4" w:space="0" w:color="auto"/>
              <w:right w:val="single" w:sz="4" w:space="0" w:color="auto"/>
            </w:tcBorders>
            <w:shd w:val="clear" w:color="auto" w:fill="auto"/>
            <w:noWrap/>
            <w:vAlign w:val="center"/>
          </w:tcPr>
          <w:p w14:paraId="6DF1E1E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1.730,00 </w:t>
            </w:r>
          </w:p>
        </w:tc>
      </w:tr>
      <w:tr w:rsidR="00E878FB" w14:paraId="6B177FDB" w14:textId="77777777" w:rsidTr="00156804">
        <w:trPr>
          <w:trHeight w:val="675"/>
        </w:trPr>
        <w:tc>
          <w:tcPr>
            <w:tcW w:w="289" w:type="pct"/>
            <w:tcBorders>
              <w:top w:val="nil"/>
              <w:left w:val="double" w:sz="6" w:space="0" w:color="auto"/>
              <w:bottom w:val="single" w:sz="4" w:space="0" w:color="auto"/>
              <w:right w:val="single" w:sz="4" w:space="0" w:color="auto"/>
            </w:tcBorders>
            <w:shd w:val="clear" w:color="auto" w:fill="auto"/>
            <w:vAlign w:val="center"/>
          </w:tcPr>
          <w:p w14:paraId="32C3EBF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24 </w:t>
            </w:r>
          </w:p>
        </w:tc>
        <w:tc>
          <w:tcPr>
            <w:tcW w:w="2789" w:type="pct"/>
            <w:tcBorders>
              <w:top w:val="nil"/>
              <w:left w:val="nil"/>
              <w:bottom w:val="single" w:sz="4" w:space="0" w:color="auto"/>
              <w:right w:val="single" w:sz="4" w:space="0" w:color="auto"/>
            </w:tcBorders>
            <w:shd w:val="clear" w:color="auto" w:fill="auto"/>
            <w:vAlign w:val="center"/>
          </w:tcPr>
          <w:p w14:paraId="2140E9C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CLORETO DE COLINA - 60% - KG, APLICAÇÃO: NUTRIÇÃO ANIMAL, APRESENTAÇÃO EM PÓ, COMPOSIÇÃO (NÍVEL DE GARANTIA): CLORETO DE COLINA (MÍN): 600 G/KG </w:t>
            </w:r>
          </w:p>
        </w:tc>
        <w:tc>
          <w:tcPr>
            <w:tcW w:w="389" w:type="pct"/>
            <w:tcBorders>
              <w:top w:val="nil"/>
              <w:left w:val="nil"/>
              <w:bottom w:val="single" w:sz="4" w:space="0" w:color="auto"/>
              <w:right w:val="single" w:sz="4" w:space="0" w:color="auto"/>
            </w:tcBorders>
            <w:shd w:val="clear" w:color="auto" w:fill="auto"/>
            <w:vAlign w:val="center"/>
          </w:tcPr>
          <w:p w14:paraId="525653B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44" w:type="pct"/>
            <w:tcBorders>
              <w:top w:val="nil"/>
              <w:left w:val="nil"/>
              <w:bottom w:val="single" w:sz="4" w:space="0" w:color="auto"/>
              <w:right w:val="single" w:sz="4" w:space="0" w:color="auto"/>
            </w:tcBorders>
            <w:shd w:val="clear" w:color="auto" w:fill="auto"/>
            <w:vAlign w:val="center"/>
          </w:tcPr>
          <w:p w14:paraId="54D638B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QUILO</w:t>
            </w:r>
          </w:p>
        </w:tc>
        <w:tc>
          <w:tcPr>
            <w:tcW w:w="544" w:type="pct"/>
            <w:tcBorders>
              <w:top w:val="nil"/>
              <w:left w:val="nil"/>
              <w:bottom w:val="single" w:sz="4" w:space="0" w:color="auto"/>
              <w:right w:val="single" w:sz="4" w:space="0" w:color="auto"/>
            </w:tcBorders>
            <w:shd w:val="clear" w:color="auto" w:fill="auto"/>
            <w:noWrap/>
            <w:vAlign w:val="center"/>
          </w:tcPr>
          <w:p w14:paraId="394ACF4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78,66 </w:t>
            </w:r>
          </w:p>
        </w:tc>
        <w:tc>
          <w:tcPr>
            <w:tcW w:w="644" w:type="pct"/>
            <w:tcBorders>
              <w:top w:val="nil"/>
              <w:left w:val="nil"/>
              <w:bottom w:val="single" w:sz="4" w:space="0" w:color="auto"/>
              <w:right w:val="single" w:sz="4" w:space="0" w:color="auto"/>
            </w:tcBorders>
            <w:shd w:val="clear" w:color="auto" w:fill="auto"/>
            <w:noWrap/>
            <w:vAlign w:val="center"/>
          </w:tcPr>
          <w:p w14:paraId="05FD8D0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1.573,20 </w:t>
            </w:r>
          </w:p>
        </w:tc>
      </w:tr>
      <w:tr w:rsidR="00E878FB" w14:paraId="0C904FA4"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7F90F79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25 </w:t>
            </w:r>
          </w:p>
        </w:tc>
        <w:tc>
          <w:tcPr>
            <w:tcW w:w="2789" w:type="pct"/>
            <w:tcBorders>
              <w:top w:val="nil"/>
              <w:left w:val="nil"/>
              <w:bottom w:val="single" w:sz="4" w:space="0" w:color="auto"/>
              <w:right w:val="single" w:sz="4" w:space="0" w:color="auto"/>
            </w:tcBorders>
            <w:shd w:val="clear" w:color="auto" w:fill="auto"/>
            <w:vAlign w:val="center"/>
          </w:tcPr>
          <w:p w14:paraId="7777E9A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CLORIDRATO DE XILAZINA - 2% - ANESTESICO PARA PEQUENOS ANIMAIS - 10ML </w:t>
            </w:r>
          </w:p>
        </w:tc>
        <w:tc>
          <w:tcPr>
            <w:tcW w:w="389" w:type="pct"/>
            <w:tcBorders>
              <w:top w:val="nil"/>
              <w:left w:val="nil"/>
              <w:bottom w:val="single" w:sz="4" w:space="0" w:color="auto"/>
              <w:right w:val="single" w:sz="4" w:space="0" w:color="auto"/>
            </w:tcBorders>
            <w:shd w:val="clear" w:color="auto" w:fill="auto"/>
            <w:vAlign w:val="center"/>
          </w:tcPr>
          <w:p w14:paraId="4E4C48C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87</w:t>
            </w:r>
          </w:p>
        </w:tc>
        <w:tc>
          <w:tcPr>
            <w:tcW w:w="344" w:type="pct"/>
            <w:tcBorders>
              <w:top w:val="nil"/>
              <w:left w:val="nil"/>
              <w:bottom w:val="single" w:sz="4" w:space="0" w:color="auto"/>
              <w:right w:val="single" w:sz="4" w:space="0" w:color="auto"/>
            </w:tcBorders>
            <w:shd w:val="clear" w:color="auto" w:fill="auto"/>
            <w:vAlign w:val="center"/>
          </w:tcPr>
          <w:p w14:paraId="5F908CF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477C28E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21,63 </w:t>
            </w:r>
          </w:p>
        </w:tc>
        <w:tc>
          <w:tcPr>
            <w:tcW w:w="644" w:type="pct"/>
            <w:tcBorders>
              <w:top w:val="nil"/>
              <w:left w:val="nil"/>
              <w:bottom w:val="single" w:sz="4" w:space="0" w:color="auto"/>
              <w:right w:val="single" w:sz="4" w:space="0" w:color="auto"/>
            </w:tcBorders>
            <w:shd w:val="clear" w:color="auto" w:fill="auto"/>
            <w:noWrap/>
            <w:vAlign w:val="center"/>
          </w:tcPr>
          <w:p w14:paraId="0139417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1.881,81 </w:t>
            </w:r>
          </w:p>
        </w:tc>
      </w:tr>
      <w:tr w:rsidR="00E878FB" w14:paraId="7D046D0E" w14:textId="77777777" w:rsidTr="00156804">
        <w:trPr>
          <w:trHeight w:val="675"/>
        </w:trPr>
        <w:tc>
          <w:tcPr>
            <w:tcW w:w="289" w:type="pct"/>
            <w:tcBorders>
              <w:top w:val="nil"/>
              <w:left w:val="double" w:sz="6" w:space="0" w:color="auto"/>
              <w:bottom w:val="single" w:sz="4" w:space="0" w:color="auto"/>
              <w:right w:val="single" w:sz="4" w:space="0" w:color="auto"/>
            </w:tcBorders>
            <w:shd w:val="clear" w:color="auto" w:fill="auto"/>
            <w:vAlign w:val="center"/>
          </w:tcPr>
          <w:p w14:paraId="174BF3E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26 </w:t>
            </w:r>
          </w:p>
        </w:tc>
        <w:tc>
          <w:tcPr>
            <w:tcW w:w="2789" w:type="pct"/>
            <w:tcBorders>
              <w:top w:val="nil"/>
              <w:left w:val="nil"/>
              <w:bottom w:val="single" w:sz="4" w:space="0" w:color="auto"/>
              <w:right w:val="single" w:sz="4" w:space="0" w:color="auto"/>
            </w:tcBorders>
            <w:shd w:val="clear" w:color="auto" w:fill="auto"/>
            <w:vAlign w:val="center"/>
          </w:tcPr>
          <w:p w14:paraId="57D912D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CODORNA JAPONESA FÊMEA, COTURNIX JAPONICA, ANIMAIS EM FASE DE PRÉ POSTURA, IDADE MÍNIMA DE 25 DIAS E MÁXIMA DE 28 DIAS </w:t>
            </w:r>
          </w:p>
        </w:tc>
        <w:tc>
          <w:tcPr>
            <w:tcW w:w="389" w:type="pct"/>
            <w:tcBorders>
              <w:top w:val="nil"/>
              <w:left w:val="nil"/>
              <w:bottom w:val="single" w:sz="4" w:space="0" w:color="auto"/>
              <w:right w:val="single" w:sz="4" w:space="0" w:color="auto"/>
            </w:tcBorders>
            <w:shd w:val="clear" w:color="auto" w:fill="auto"/>
            <w:vAlign w:val="center"/>
          </w:tcPr>
          <w:p w14:paraId="3DB588F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450</w:t>
            </w:r>
          </w:p>
        </w:tc>
        <w:tc>
          <w:tcPr>
            <w:tcW w:w="344" w:type="pct"/>
            <w:tcBorders>
              <w:top w:val="nil"/>
              <w:left w:val="nil"/>
              <w:bottom w:val="single" w:sz="4" w:space="0" w:color="auto"/>
              <w:right w:val="single" w:sz="4" w:space="0" w:color="auto"/>
            </w:tcBorders>
            <w:shd w:val="clear" w:color="auto" w:fill="auto"/>
            <w:vAlign w:val="center"/>
          </w:tcPr>
          <w:p w14:paraId="7854DB7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6A75A0E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26,66 </w:t>
            </w:r>
          </w:p>
        </w:tc>
        <w:tc>
          <w:tcPr>
            <w:tcW w:w="644" w:type="pct"/>
            <w:tcBorders>
              <w:top w:val="nil"/>
              <w:left w:val="nil"/>
              <w:bottom w:val="single" w:sz="4" w:space="0" w:color="auto"/>
              <w:right w:val="single" w:sz="4" w:space="0" w:color="auto"/>
            </w:tcBorders>
            <w:shd w:val="clear" w:color="auto" w:fill="auto"/>
            <w:noWrap/>
            <w:vAlign w:val="center"/>
          </w:tcPr>
          <w:p w14:paraId="3DABA5C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11.997,00 </w:t>
            </w:r>
          </w:p>
        </w:tc>
      </w:tr>
      <w:tr w:rsidR="00E878FB" w14:paraId="1951B19C"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2DD8AC2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27 </w:t>
            </w:r>
          </w:p>
        </w:tc>
        <w:tc>
          <w:tcPr>
            <w:tcW w:w="2789" w:type="pct"/>
            <w:tcBorders>
              <w:top w:val="nil"/>
              <w:left w:val="nil"/>
              <w:bottom w:val="single" w:sz="4" w:space="0" w:color="auto"/>
              <w:right w:val="single" w:sz="4" w:space="0" w:color="auto"/>
            </w:tcBorders>
            <w:shd w:val="clear" w:color="auto" w:fill="auto"/>
            <w:vAlign w:val="center"/>
          </w:tcPr>
          <w:p w14:paraId="6C50DD3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COLOSSO PULVERIZAÇÃO - 250 ML - CADA 100ML: CLORPIRIFOS:25,0G, CIPERMETRINA: 15,0G </w:t>
            </w:r>
          </w:p>
        </w:tc>
        <w:tc>
          <w:tcPr>
            <w:tcW w:w="389" w:type="pct"/>
            <w:tcBorders>
              <w:top w:val="nil"/>
              <w:left w:val="nil"/>
              <w:bottom w:val="single" w:sz="4" w:space="0" w:color="auto"/>
              <w:right w:val="single" w:sz="4" w:space="0" w:color="auto"/>
            </w:tcBorders>
            <w:shd w:val="clear" w:color="auto" w:fill="auto"/>
            <w:vAlign w:val="center"/>
          </w:tcPr>
          <w:p w14:paraId="75441FC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44" w:type="pct"/>
            <w:tcBorders>
              <w:top w:val="nil"/>
              <w:left w:val="nil"/>
              <w:bottom w:val="single" w:sz="4" w:space="0" w:color="auto"/>
              <w:right w:val="single" w:sz="4" w:space="0" w:color="auto"/>
            </w:tcBorders>
            <w:shd w:val="clear" w:color="auto" w:fill="auto"/>
            <w:vAlign w:val="center"/>
          </w:tcPr>
          <w:p w14:paraId="5185404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0000F72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69,80 </w:t>
            </w:r>
          </w:p>
        </w:tc>
        <w:tc>
          <w:tcPr>
            <w:tcW w:w="644" w:type="pct"/>
            <w:tcBorders>
              <w:top w:val="nil"/>
              <w:left w:val="nil"/>
              <w:bottom w:val="single" w:sz="4" w:space="0" w:color="auto"/>
              <w:right w:val="single" w:sz="4" w:space="0" w:color="auto"/>
            </w:tcBorders>
            <w:shd w:val="clear" w:color="auto" w:fill="auto"/>
            <w:noWrap/>
            <w:vAlign w:val="center"/>
          </w:tcPr>
          <w:p w14:paraId="4015A46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1.745,00 </w:t>
            </w:r>
          </w:p>
        </w:tc>
      </w:tr>
      <w:tr w:rsidR="00E878FB" w14:paraId="7A60DE77" w14:textId="77777777" w:rsidTr="00156804">
        <w:trPr>
          <w:trHeight w:val="758"/>
        </w:trPr>
        <w:tc>
          <w:tcPr>
            <w:tcW w:w="289" w:type="pct"/>
            <w:tcBorders>
              <w:top w:val="nil"/>
              <w:left w:val="double" w:sz="6" w:space="0" w:color="auto"/>
              <w:bottom w:val="single" w:sz="4" w:space="0" w:color="auto"/>
              <w:right w:val="single" w:sz="4" w:space="0" w:color="auto"/>
            </w:tcBorders>
            <w:shd w:val="clear" w:color="auto" w:fill="auto"/>
            <w:vAlign w:val="center"/>
          </w:tcPr>
          <w:p w14:paraId="6E175E0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28 </w:t>
            </w:r>
          </w:p>
        </w:tc>
        <w:tc>
          <w:tcPr>
            <w:tcW w:w="2789" w:type="pct"/>
            <w:tcBorders>
              <w:top w:val="nil"/>
              <w:left w:val="nil"/>
              <w:bottom w:val="single" w:sz="4" w:space="0" w:color="auto"/>
              <w:right w:val="single" w:sz="4" w:space="0" w:color="auto"/>
            </w:tcBorders>
            <w:shd w:val="clear" w:color="auto" w:fill="auto"/>
            <w:vAlign w:val="center"/>
          </w:tcPr>
          <w:p w14:paraId="117E05E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ENRIQUECIMENTO AMBIENTAL MODELO PARA CAMUNDONGOS; - ESTRATEGICAMENTE PRODUZIDOS NA COR VERMELHA - PRODUZIDO 100% EM POLISULFONA, GARANTINDO RESISTÊNCIA E DURABILIDADE; - PRODUTO AUTOCLAVÁVEL. </w:t>
            </w:r>
          </w:p>
        </w:tc>
        <w:tc>
          <w:tcPr>
            <w:tcW w:w="389" w:type="pct"/>
            <w:tcBorders>
              <w:top w:val="nil"/>
              <w:left w:val="nil"/>
              <w:bottom w:val="single" w:sz="4" w:space="0" w:color="auto"/>
              <w:right w:val="single" w:sz="4" w:space="0" w:color="auto"/>
            </w:tcBorders>
            <w:shd w:val="clear" w:color="auto" w:fill="auto"/>
            <w:vAlign w:val="center"/>
          </w:tcPr>
          <w:p w14:paraId="2AB5824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200</w:t>
            </w:r>
          </w:p>
        </w:tc>
        <w:tc>
          <w:tcPr>
            <w:tcW w:w="344" w:type="pct"/>
            <w:tcBorders>
              <w:top w:val="nil"/>
              <w:left w:val="nil"/>
              <w:bottom w:val="single" w:sz="4" w:space="0" w:color="auto"/>
              <w:right w:val="single" w:sz="4" w:space="0" w:color="auto"/>
            </w:tcBorders>
            <w:shd w:val="clear" w:color="auto" w:fill="auto"/>
            <w:vAlign w:val="center"/>
          </w:tcPr>
          <w:p w14:paraId="1054A8D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1ADD933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84,89 </w:t>
            </w:r>
          </w:p>
        </w:tc>
        <w:tc>
          <w:tcPr>
            <w:tcW w:w="644" w:type="pct"/>
            <w:tcBorders>
              <w:top w:val="nil"/>
              <w:left w:val="nil"/>
              <w:bottom w:val="single" w:sz="4" w:space="0" w:color="auto"/>
              <w:right w:val="single" w:sz="4" w:space="0" w:color="auto"/>
            </w:tcBorders>
            <w:shd w:val="clear" w:color="auto" w:fill="auto"/>
            <w:noWrap/>
            <w:vAlign w:val="center"/>
          </w:tcPr>
          <w:p w14:paraId="4165D31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16.978,00 </w:t>
            </w:r>
          </w:p>
        </w:tc>
      </w:tr>
      <w:tr w:rsidR="00E878FB" w14:paraId="3B1DA1E3" w14:textId="77777777" w:rsidTr="00156804">
        <w:trPr>
          <w:trHeight w:val="542"/>
        </w:trPr>
        <w:tc>
          <w:tcPr>
            <w:tcW w:w="289" w:type="pct"/>
            <w:tcBorders>
              <w:top w:val="nil"/>
              <w:left w:val="double" w:sz="6" w:space="0" w:color="auto"/>
              <w:bottom w:val="single" w:sz="4" w:space="0" w:color="auto"/>
              <w:right w:val="single" w:sz="4" w:space="0" w:color="auto"/>
            </w:tcBorders>
            <w:shd w:val="clear" w:color="auto" w:fill="auto"/>
            <w:vAlign w:val="center"/>
          </w:tcPr>
          <w:p w14:paraId="714380C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29 </w:t>
            </w:r>
          </w:p>
        </w:tc>
        <w:tc>
          <w:tcPr>
            <w:tcW w:w="2789" w:type="pct"/>
            <w:tcBorders>
              <w:top w:val="nil"/>
              <w:left w:val="nil"/>
              <w:bottom w:val="single" w:sz="4" w:space="0" w:color="auto"/>
              <w:right w:val="single" w:sz="4" w:space="0" w:color="auto"/>
            </w:tcBorders>
            <w:shd w:val="clear" w:color="auto" w:fill="auto"/>
            <w:vAlign w:val="center"/>
          </w:tcPr>
          <w:p w14:paraId="45AF39F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Equipo para soro macro gotas, ponta perfurante, tampa protetora, câmara flexível gotejadora em macrogotas, tubo em PVC, atóxico e apirogênico, pinça rolete para dosagem de volume, conexão Luer Lock </w:t>
            </w:r>
          </w:p>
        </w:tc>
        <w:tc>
          <w:tcPr>
            <w:tcW w:w="389" w:type="pct"/>
            <w:tcBorders>
              <w:top w:val="nil"/>
              <w:left w:val="nil"/>
              <w:bottom w:val="single" w:sz="4" w:space="0" w:color="auto"/>
              <w:right w:val="single" w:sz="4" w:space="0" w:color="auto"/>
            </w:tcBorders>
            <w:shd w:val="clear" w:color="auto" w:fill="auto"/>
            <w:vAlign w:val="center"/>
          </w:tcPr>
          <w:p w14:paraId="6E4F881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50</w:t>
            </w:r>
          </w:p>
        </w:tc>
        <w:tc>
          <w:tcPr>
            <w:tcW w:w="344" w:type="pct"/>
            <w:tcBorders>
              <w:top w:val="nil"/>
              <w:left w:val="nil"/>
              <w:bottom w:val="single" w:sz="4" w:space="0" w:color="auto"/>
              <w:right w:val="single" w:sz="4" w:space="0" w:color="auto"/>
            </w:tcBorders>
            <w:shd w:val="clear" w:color="auto" w:fill="auto"/>
            <w:vAlign w:val="center"/>
          </w:tcPr>
          <w:p w14:paraId="7C244ED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17F082F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5,99 </w:t>
            </w:r>
          </w:p>
        </w:tc>
        <w:tc>
          <w:tcPr>
            <w:tcW w:w="644" w:type="pct"/>
            <w:tcBorders>
              <w:top w:val="nil"/>
              <w:left w:val="nil"/>
              <w:bottom w:val="single" w:sz="4" w:space="0" w:color="auto"/>
              <w:right w:val="single" w:sz="4" w:space="0" w:color="auto"/>
            </w:tcBorders>
            <w:shd w:val="clear" w:color="auto" w:fill="auto"/>
            <w:noWrap/>
            <w:vAlign w:val="center"/>
          </w:tcPr>
          <w:p w14:paraId="00DD0BE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299,50 </w:t>
            </w:r>
          </w:p>
        </w:tc>
      </w:tr>
      <w:tr w:rsidR="00E878FB" w14:paraId="57DE92D6" w14:textId="77777777" w:rsidTr="00156804">
        <w:trPr>
          <w:trHeight w:val="381"/>
        </w:trPr>
        <w:tc>
          <w:tcPr>
            <w:tcW w:w="289" w:type="pct"/>
            <w:tcBorders>
              <w:top w:val="nil"/>
              <w:left w:val="double" w:sz="6" w:space="0" w:color="auto"/>
              <w:bottom w:val="single" w:sz="4" w:space="0" w:color="auto"/>
              <w:right w:val="single" w:sz="4" w:space="0" w:color="auto"/>
            </w:tcBorders>
            <w:shd w:val="clear" w:color="auto" w:fill="auto"/>
            <w:vAlign w:val="center"/>
          </w:tcPr>
          <w:p w14:paraId="7AD8519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30 </w:t>
            </w:r>
          </w:p>
        </w:tc>
        <w:tc>
          <w:tcPr>
            <w:tcW w:w="2789" w:type="pct"/>
            <w:tcBorders>
              <w:top w:val="nil"/>
              <w:left w:val="nil"/>
              <w:bottom w:val="single" w:sz="4" w:space="0" w:color="auto"/>
              <w:right w:val="single" w:sz="4" w:space="0" w:color="auto"/>
            </w:tcBorders>
            <w:shd w:val="clear" w:color="auto" w:fill="auto"/>
            <w:vAlign w:val="center"/>
          </w:tcPr>
          <w:p w14:paraId="57BDED4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Extrato de soja em pó, aplicação: nutrição animal. Níveis de garantia: Proteína bruta: Mín. 38%; Extrato etéreo: Máx. 27%; Fibra bruta: Máx. 8%. Apresentação em sacos plásticos de, no máximo 1,0 Kg </w:t>
            </w:r>
          </w:p>
        </w:tc>
        <w:tc>
          <w:tcPr>
            <w:tcW w:w="389" w:type="pct"/>
            <w:tcBorders>
              <w:top w:val="nil"/>
              <w:left w:val="nil"/>
              <w:bottom w:val="single" w:sz="4" w:space="0" w:color="auto"/>
              <w:right w:val="single" w:sz="4" w:space="0" w:color="auto"/>
            </w:tcBorders>
            <w:shd w:val="clear" w:color="auto" w:fill="auto"/>
            <w:vAlign w:val="center"/>
          </w:tcPr>
          <w:p w14:paraId="2C44D99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44" w:type="pct"/>
            <w:tcBorders>
              <w:top w:val="nil"/>
              <w:left w:val="nil"/>
              <w:bottom w:val="single" w:sz="4" w:space="0" w:color="auto"/>
              <w:right w:val="single" w:sz="4" w:space="0" w:color="auto"/>
            </w:tcBorders>
            <w:shd w:val="clear" w:color="auto" w:fill="auto"/>
            <w:vAlign w:val="center"/>
          </w:tcPr>
          <w:p w14:paraId="685D62E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61A8365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16,66 </w:t>
            </w:r>
          </w:p>
        </w:tc>
        <w:tc>
          <w:tcPr>
            <w:tcW w:w="644" w:type="pct"/>
            <w:tcBorders>
              <w:top w:val="nil"/>
              <w:left w:val="nil"/>
              <w:bottom w:val="single" w:sz="4" w:space="0" w:color="auto"/>
              <w:right w:val="single" w:sz="4" w:space="0" w:color="auto"/>
            </w:tcBorders>
            <w:shd w:val="clear" w:color="auto" w:fill="auto"/>
            <w:noWrap/>
            <w:vAlign w:val="center"/>
          </w:tcPr>
          <w:p w14:paraId="0D38D20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166,60 </w:t>
            </w:r>
          </w:p>
        </w:tc>
      </w:tr>
      <w:tr w:rsidR="00E878FB" w14:paraId="498DF867" w14:textId="77777777" w:rsidTr="00156804">
        <w:trPr>
          <w:trHeight w:val="630"/>
        </w:trPr>
        <w:tc>
          <w:tcPr>
            <w:tcW w:w="289" w:type="pct"/>
            <w:tcBorders>
              <w:top w:val="nil"/>
              <w:left w:val="double" w:sz="6" w:space="0" w:color="auto"/>
              <w:bottom w:val="single" w:sz="4" w:space="0" w:color="auto"/>
              <w:right w:val="single" w:sz="4" w:space="0" w:color="auto"/>
            </w:tcBorders>
            <w:shd w:val="clear" w:color="auto" w:fill="auto"/>
            <w:vAlign w:val="center"/>
          </w:tcPr>
          <w:p w14:paraId="10B4075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31 </w:t>
            </w:r>
          </w:p>
        </w:tc>
        <w:tc>
          <w:tcPr>
            <w:tcW w:w="2789" w:type="pct"/>
            <w:tcBorders>
              <w:top w:val="nil"/>
              <w:left w:val="nil"/>
              <w:bottom w:val="single" w:sz="4" w:space="0" w:color="auto"/>
              <w:right w:val="single" w:sz="4" w:space="0" w:color="auto"/>
            </w:tcBorders>
            <w:shd w:val="clear" w:color="auto" w:fill="auto"/>
            <w:vAlign w:val="center"/>
          </w:tcPr>
          <w:p w14:paraId="658A682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FARELO DE SOJA, APLICAÇÃO: NUTRIÇÃO ANIMAL. APRESENTAÇÃO EM SACOS (SC) COM PESOS PADRONIZADOS DE 50 KG. COMPOSIÇÃO (NÍVEIS DE GARANTIA EM % DA MS): UMIDADE (MÁX.): 12%; PROTEÍNA BRUTA (MÍN.): 45%; NUTRIENTES DIGESTÍVEIS TOTAIS (MÍN.): 80% </w:t>
            </w:r>
          </w:p>
        </w:tc>
        <w:tc>
          <w:tcPr>
            <w:tcW w:w="389" w:type="pct"/>
            <w:tcBorders>
              <w:top w:val="nil"/>
              <w:left w:val="nil"/>
              <w:bottom w:val="single" w:sz="4" w:space="0" w:color="auto"/>
              <w:right w:val="single" w:sz="4" w:space="0" w:color="auto"/>
            </w:tcBorders>
            <w:shd w:val="clear" w:color="auto" w:fill="auto"/>
            <w:vAlign w:val="center"/>
          </w:tcPr>
          <w:p w14:paraId="09CA67F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61</w:t>
            </w:r>
          </w:p>
        </w:tc>
        <w:tc>
          <w:tcPr>
            <w:tcW w:w="344" w:type="pct"/>
            <w:tcBorders>
              <w:top w:val="nil"/>
              <w:left w:val="nil"/>
              <w:bottom w:val="single" w:sz="4" w:space="0" w:color="auto"/>
              <w:right w:val="single" w:sz="4" w:space="0" w:color="auto"/>
            </w:tcBorders>
            <w:shd w:val="clear" w:color="auto" w:fill="auto"/>
            <w:vAlign w:val="center"/>
          </w:tcPr>
          <w:p w14:paraId="3502AF9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Sc 50Kg</w:t>
            </w:r>
          </w:p>
        </w:tc>
        <w:tc>
          <w:tcPr>
            <w:tcW w:w="544" w:type="pct"/>
            <w:tcBorders>
              <w:top w:val="nil"/>
              <w:left w:val="nil"/>
              <w:bottom w:val="single" w:sz="4" w:space="0" w:color="auto"/>
              <w:right w:val="single" w:sz="4" w:space="0" w:color="auto"/>
            </w:tcBorders>
            <w:shd w:val="clear" w:color="auto" w:fill="auto"/>
            <w:noWrap/>
            <w:vAlign w:val="center"/>
          </w:tcPr>
          <w:p w14:paraId="431622C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466,66 </w:t>
            </w:r>
          </w:p>
        </w:tc>
        <w:tc>
          <w:tcPr>
            <w:tcW w:w="644" w:type="pct"/>
            <w:tcBorders>
              <w:top w:val="nil"/>
              <w:left w:val="nil"/>
              <w:bottom w:val="single" w:sz="4" w:space="0" w:color="auto"/>
              <w:right w:val="single" w:sz="4" w:space="0" w:color="auto"/>
            </w:tcBorders>
            <w:shd w:val="clear" w:color="auto" w:fill="auto"/>
            <w:noWrap/>
            <w:vAlign w:val="center"/>
          </w:tcPr>
          <w:p w14:paraId="4341ACC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28.466,26 </w:t>
            </w:r>
          </w:p>
        </w:tc>
      </w:tr>
      <w:tr w:rsidR="00E878FB" w14:paraId="7DFAAE2D" w14:textId="77777777" w:rsidTr="00156804">
        <w:trPr>
          <w:trHeight w:val="684"/>
        </w:trPr>
        <w:tc>
          <w:tcPr>
            <w:tcW w:w="289" w:type="pct"/>
            <w:tcBorders>
              <w:top w:val="nil"/>
              <w:left w:val="double" w:sz="6" w:space="0" w:color="auto"/>
              <w:bottom w:val="single" w:sz="4" w:space="0" w:color="auto"/>
              <w:right w:val="single" w:sz="4" w:space="0" w:color="auto"/>
            </w:tcBorders>
            <w:shd w:val="clear" w:color="auto" w:fill="auto"/>
            <w:vAlign w:val="center"/>
          </w:tcPr>
          <w:p w14:paraId="667F646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32 </w:t>
            </w:r>
          </w:p>
        </w:tc>
        <w:tc>
          <w:tcPr>
            <w:tcW w:w="2789" w:type="pct"/>
            <w:tcBorders>
              <w:top w:val="nil"/>
              <w:left w:val="nil"/>
              <w:bottom w:val="single" w:sz="4" w:space="0" w:color="auto"/>
              <w:right w:val="single" w:sz="4" w:space="0" w:color="auto"/>
            </w:tcBorders>
            <w:shd w:val="clear" w:color="auto" w:fill="auto"/>
            <w:vAlign w:val="center"/>
          </w:tcPr>
          <w:p w14:paraId="403BAD3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FARELO DE TRIGO, APLICAÇÃO: NUTRIÇÃO ANIMAL. APRESENTAÇÃO EM SACOS (SC) COM PESOS PADRONIZADOS DE 40 KG. COMPOSIÇÃO (NÍVEIS DE GARANTIA EM % DA MS): UMIDADE (MÁX.): 12%; PROTEÍNA BRUTA (MÍN.): 17%; NUTRIENTES DIGESTÍVEIS TOTAIS (MÍN.): 70%. </w:t>
            </w:r>
          </w:p>
        </w:tc>
        <w:tc>
          <w:tcPr>
            <w:tcW w:w="389" w:type="pct"/>
            <w:tcBorders>
              <w:top w:val="nil"/>
              <w:left w:val="nil"/>
              <w:bottom w:val="single" w:sz="4" w:space="0" w:color="auto"/>
              <w:right w:val="single" w:sz="4" w:space="0" w:color="auto"/>
            </w:tcBorders>
            <w:shd w:val="clear" w:color="auto" w:fill="auto"/>
            <w:vAlign w:val="center"/>
          </w:tcPr>
          <w:p w14:paraId="4C71031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w:t>
            </w:r>
          </w:p>
        </w:tc>
        <w:tc>
          <w:tcPr>
            <w:tcW w:w="344" w:type="pct"/>
            <w:tcBorders>
              <w:top w:val="nil"/>
              <w:left w:val="nil"/>
              <w:bottom w:val="single" w:sz="4" w:space="0" w:color="auto"/>
              <w:right w:val="single" w:sz="4" w:space="0" w:color="auto"/>
            </w:tcBorders>
            <w:shd w:val="clear" w:color="auto" w:fill="auto"/>
            <w:vAlign w:val="center"/>
          </w:tcPr>
          <w:p w14:paraId="2690DA6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1E17991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71,66 </w:t>
            </w:r>
          </w:p>
        </w:tc>
        <w:tc>
          <w:tcPr>
            <w:tcW w:w="644" w:type="pct"/>
            <w:tcBorders>
              <w:top w:val="nil"/>
              <w:left w:val="nil"/>
              <w:bottom w:val="single" w:sz="4" w:space="0" w:color="auto"/>
              <w:right w:val="single" w:sz="4" w:space="0" w:color="auto"/>
            </w:tcBorders>
            <w:shd w:val="clear" w:color="auto" w:fill="auto"/>
            <w:noWrap/>
            <w:vAlign w:val="center"/>
          </w:tcPr>
          <w:p w14:paraId="0A58712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286,64 </w:t>
            </w:r>
          </w:p>
        </w:tc>
      </w:tr>
      <w:tr w:rsidR="00E878FB" w14:paraId="109F1F02" w14:textId="77777777" w:rsidTr="00156804">
        <w:trPr>
          <w:trHeight w:val="2170"/>
        </w:trPr>
        <w:tc>
          <w:tcPr>
            <w:tcW w:w="289" w:type="pct"/>
            <w:tcBorders>
              <w:top w:val="nil"/>
              <w:left w:val="double" w:sz="6" w:space="0" w:color="auto"/>
              <w:bottom w:val="single" w:sz="4" w:space="0" w:color="auto"/>
              <w:right w:val="single" w:sz="4" w:space="0" w:color="auto"/>
            </w:tcBorders>
            <w:shd w:val="clear" w:color="auto" w:fill="auto"/>
            <w:vAlign w:val="center"/>
          </w:tcPr>
          <w:p w14:paraId="14F8E49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33 </w:t>
            </w:r>
          </w:p>
        </w:tc>
        <w:tc>
          <w:tcPr>
            <w:tcW w:w="2789" w:type="pct"/>
            <w:tcBorders>
              <w:top w:val="nil"/>
              <w:left w:val="nil"/>
              <w:bottom w:val="single" w:sz="4" w:space="0" w:color="auto"/>
              <w:right w:val="single" w:sz="4" w:space="0" w:color="auto"/>
            </w:tcBorders>
            <w:shd w:val="clear" w:color="auto" w:fill="auto"/>
            <w:vAlign w:val="center"/>
          </w:tcPr>
          <w:p w14:paraId="2B66529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FENO DE GRAMÍNEA TIFTON - TIPO A*. FENO OBRIGATORIAMENTE COM COLORAÇÃO VERDE, ALTA RELAÇÃO FOLHA/COLMO (MÍN: 1,5) E COLMOS FINOS. APRESENTAÇÃO EM FARDOS COM PESOS PADRONIZADOS, SENDO ESTES DE NO MÁXIMO 40 KG. COMPOSIÇÃO (NÍVEIS DE GARANTIA EM % DA MS): UMIDADE (MÁX.): 20%; PROTEÍNA BRUTA (MÍN.): 13%; FIBRA EM DETERGENTE NEUTRO (MÁX): 65%; NUTRIENTES DIGESTÍVEIS TOTAIS (MÍN.): 55%. * CLASSIFICAÇÃO DE FENO CONFORME PEDREIRA (2005): PEDREIRA, C.G.S. CAPINS DO GÊNERO CYNODON: HISTÓRICO E POTENCIAL PARA A PECUÁRIA BRASILEIRA. IN: VILELA. D.; RESENDE, J.C. DE; LIMA, J. (ED.). CYNODON FORRAGEIRAS QUE ESTÃO REVOLUCIONANDO A PECUÁRIA BRASILEIRA. JUIZ DE FORA: EMBRAPA GADO DE LEITE, 2005. P. 33-58.</w:t>
            </w:r>
          </w:p>
        </w:tc>
        <w:tc>
          <w:tcPr>
            <w:tcW w:w="389" w:type="pct"/>
            <w:tcBorders>
              <w:top w:val="nil"/>
              <w:left w:val="nil"/>
              <w:bottom w:val="single" w:sz="4" w:space="0" w:color="auto"/>
              <w:right w:val="single" w:sz="4" w:space="0" w:color="auto"/>
            </w:tcBorders>
            <w:shd w:val="clear" w:color="auto" w:fill="auto"/>
            <w:vAlign w:val="center"/>
          </w:tcPr>
          <w:p w14:paraId="0F7B4D9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39904</w:t>
            </w:r>
          </w:p>
        </w:tc>
        <w:tc>
          <w:tcPr>
            <w:tcW w:w="344" w:type="pct"/>
            <w:tcBorders>
              <w:top w:val="nil"/>
              <w:left w:val="nil"/>
              <w:bottom w:val="single" w:sz="4" w:space="0" w:color="auto"/>
              <w:right w:val="single" w:sz="4" w:space="0" w:color="auto"/>
            </w:tcBorders>
            <w:shd w:val="clear" w:color="auto" w:fill="auto"/>
            <w:vAlign w:val="center"/>
          </w:tcPr>
          <w:p w14:paraId="085D42F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7CDE1F9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4,97 </w:t>
            </w:r>
          </w:p>
        </w:tc>
        <w:tc>
          <w:tcPr>
            <w:tcW w:w="644" w:type="pct"/>
            <w:tcBorders>
              <w:top w:val="nil"/>
              <w:left w:val="nil"/>
              <w:bottom w:val="single" w:sz="4" w:space="0" w:color="auto"/>
              <w:right w:val="single" w:sz="4" w:space="0" w:color="auto"/>
            </w:tcBorders>
            <w:shd w:val="clear" w:color="auto" w:fill="auto"/>
            <w:noWrap/>
            <w:vAlign w:val="center"/>
          </w:tcPr>
          <w:p w14:paraId="706FEB3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198.322,88 </w:t>
            </w:r>
          </w:p>
        </w:tc>
      </w:tr>
      <w:tr w:rsidR="00E878FB" w14:paraId="4F03B0C8" w14:textId="77777777" w:rsidTr="00156804">
        <w:trPr>
          <w:trHeight w:val="2359"/>
        </w:trPr>
        <w:tc>
          <w:tcPr>
            <w:tcW w:w="289" w:type="pct"/>
            <w:tcBorders>
              <w:top w:val="nil"/>
              <w:left w:val="double" w:sz="6" w:space="0" w:color="auto"/>
              <w:bottom w:val="single" w:sz="4" w:space="0" w:color="auto"/>
              <w:right w:val="single" w:sz="4" w:space="0" w:color="auto"/>
            </w:tcBorders>
            <w:shd w:val="clear" w:color="auto" w:fill="auto"/>
            <w:vAlign w:val="center"/>
          </w:tcPr>
          <w:p w14:paraId="43753F9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34 </w:t>
            </w:r>
          </w:p>
        </w:tc>
        <w:tc>
          <w:tcPr>
            <w:tcW w:w="2789" w:type="pct"/>
            <w:tcBorders>
              <w:top w:val="nil"/>
              <w:left w:val="nil"/>
              <w:bottom w:val="single" w:sz="4" w:space="0" w:color="auto"/>
              <w:right w:val="single" w:sz="4" w:space="0" w:color="auto"/>
            </w:tcBorders>
            <w:shd w:val="clear" w:color="auto" w:fill="auto"/>
            <w:vAlign w:val="center"/>
          </w:tcPr>
          <w:p w14:paraId="0415F9C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FENO DE GRAMÍNEA TIFTON - TIPO A*. FENO OBRIGATORIAMENTE COM COLORAÇÃO VERDE, ALTA RELAÇÃO FOLHA/COLMO (MÍN: 1,5) E COLMOS FINOS. APRESENTAÇÃO EM FARDOS COM PESOS PADRONIZADOS, SENDO ESTES DE NO MÁXIMO 40 KG. COMPOSIÇÃO (NÍVEIS DE GARANTIA EM % DA MS): UMIDADE (MÁX.): 20%; PROTEÍNA BRUTA (MÍN.): 13%; FIBRA EM DETERGENTE NEUTRO (MÁX): 65%; NUTRIENTES DIGESTÍVEIS TOTAIS (MÍN.): 55%. * CLASSIFICAÇÃO DE FENO CONFORME PEDREIRA (2005): PEDREIRA, C.G.S. CAPINS DO GÊNERO CYNODON: HISTÓRICO E POTENCIAL PARA A PECUÁRIA BRASILEIRA. IN: VILELA. D.; RESENDE, J.C. DE; LIMA, J. (ED.). CYNODON FORRAGEIRAS QUE ESTÃO REVOLUCIONANDO A PECUÁRIA BRASILEIRA. JUIZ DE FORA: EMBRAPA GADO DE LEITE, 2005. P. 33-58. ME/EPP </w:t>
            </w:r>
          </w:p>
        </w:tc>
        <w:tc>
          <w:tcPr>
            <w:tcW w:w="389" w:type="pct"/>
            <w:tcBorders>
              <w:top w:val="nil"/>
              <w:left w:val="nil"/>
              <w:bottom w:val="single" w:sz="4" w:space="0" w:color="auto"/>
              <w:right w:val="single" w:sz="4" w:space="0" w:color="auto"/>
            </w:tcBorders>
            <w:shd w:val="clear" w:color="auto" w:fill="auto"/>
            <w:vAlign w:val="center"/>
          </w:tcPr>
          <w:p w14:paraId="5A1BD9F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16096</w:t>
            </w:r>
          </w:p>
        </w:tc>
        <w:tc>
          <w:tcPr>
            <w:tcW w:w="344" w:type="pct"/>
            <w:tcBorders>
              <w:top w:val="nil"/>
              <w:left w:val="nil"/>
              <w:bottom w:val="single" w:sz="4" w:space="0" w:color="auto"/>
              <w:right w:val="single" w:sz="4" w:space="0" w:color="auto"/>
            </w:tcBorders>
            <w:shd w:val="clear" w:color="auto" w:fill="auto"/>
            <w:vAlign w:val="center"/>
          </w:tcPr>
          <w:p w14:paraId="798521E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0371B67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4,97 </w:t>
            </w:r>
          </w:p>
        </w:tc>
        <w:tc>
          <w:tcPr>
            <w:tcW w:w="644" w:type="pct"/>
            <w:tcBorders>
              <w:top w:val="nil"/>
              <w:left w:val="nil"/>
              <w:bottom w:val="single" w:sz="4" w:space="0" w:color="auto"/>
              <w:right w:val="single" w:sz="4" w:space="0" w:color="auto"/>
            </w:tcBorders>
            <w:shd w:val="clear" w:color="auto" w:fill="auto"/>
            <w:noWrap/>
            <w:vAlign w:val="center"/>
          </w:tcPr>
          <w:p w14:paraId="3C70D0B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79.997,12 </w:t>
            </w:r>
          </w:p>
        </w:tc>
      </w:tr>
      <w:tr w:rsidR="00E878FB" w14:paraId="69B6A5A8"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5BA1BA4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35 </w:t>
            </w:r>
          </w:p>
        </w:tc>
        <w:tc>
          <w:tcPr>
            <w:tcW w:w="2789" w:type="pct"/>
            <w:tcBorders>
              <w:top w:val="nil"/>
              <w:left w:val="nil"/>
              <w:bottom w:val="single" w:sz="4" w:space="0" w:color="auto"/>
              <w:right w:val="single" w:sz="4" w:space="0" w:color="auto"/>
            </w:tcBorders>
            <w:shd w:val="clear" w:color="auto" w:fill="auto"/>
            <w:vAlign w:val="center"/>
          </w:tcPr>
          <w:p w14:paraId="6673220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FOSFATO BICÁLCICO - NUTRIÇÃO ANIMAL - SACO DE 50KG COM PESO PADRONIZADO </w:t>
            </w:r>
          </w:p>
        </w:tc>
        <w:tc>
          <w:tcPr>
            <w:tcW w:w="389" w:type="pct"/>
            <w:tcBorders>
              <w:top w:val="nil"/>
              <w:left w:val="nil"/>
              <w:bottom w:val="single" w:sz="4" w:space="0" w:color="auto"/>
              <w:right w:val="single" w:sz="4" w:space="0" w:color="auto"/>
            </w:tcBorders>
            <w:shd w:val="clear" w:color="auto" w:fill="auto"/>
            <w:vAlign w:val="center"/>
          </w:tcPr>
          <w:p w14:paraId="69ED859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344" w:type="pct"/>
            <w:tcBorders>
              <w:top w:val="nil"/>
              <w:left w:val="nil"/>
              <w:bottom w:val="single" w:sz="4" w:space="0" w:color="auto"/>
              <w:right w:val="single" w:sz="4" w:space="0" w:color="auto"/>
            </w:tcBorders>
            <w:shd w:val="clear" w:color="auto" w:fill="auto"/>
            <w:vAlign w:val="center"/>
          </w:tcPr>
          <w:p w14:paraId="582BC9C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22E8A6C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575,75 </w:t>
            </w:r>
          </w:p>
        </w:tc>
        <w:tc>
          <w:tcPr>
            <w:tcW w:w="644" w:type="pct"/>
            <w:tcBorders>
              <w:top w:val="nil"/>
              <w:left w:val="nil"/>
              <w:bottom w:val="single" w:sz="4" w:space="0" w:color="auto"/>
              <w:right w:val="single" w:sz="4" w:space="0" w:color="auto"/>
            </w:tcBorders>
            <w:shd w:val="clear" w:color="auto" w:fill="auto"/>
            <w:noWrap/>
            <w:vAlign w:val="center"/>
          </w:tcPr>
          <w:p w14:paraId="525388D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1.151,50 </w:t>
            </w:r>
          </w:p>
        </w:tc>
      </w:tr>
      <w:tr w:rsidR="00E878FB" w14:paraId="1662C8AC" w14:textId="77777777" w:rsidTr="00156804">
        <w:trPr>
          <w:trHeight w:val="670"/>
        </w:trPr>
        <w:tc>
          <w:tcPr>
            <w:tcW w:w="289" w:type="pct"/>
            <w:tcBorders>
              <w:top w:val="nil"/>
              <w:left w:val="double" w:sz="6" w:space="0" w:color="auto"/>
              <w:bottom w:val="single" w:sz="4" w:space="0" w:color="auto"/>
              <w:right w:val="single" w:sz="4" w:space="0" w:color="auto"/>
            </w:tcBorders>
            <w:shd w:val="clear" w:color="auto" w:fill="auto"/>
            <w:vAlign w:val="center"/>
          </w:tcPr>
          <w:p w14:paraId="1EFE054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36 </w:t>
            </w:r>
          </w:p>
        </w:tc>
        <w:tc>
          <w:tcPr>
            <w:tcW w:w="2789" w:type="pct"/>
            <w:tcBorders>
              <w:top w:val="nil"/>
              <w:left w:val="nil"/>
              <w:bottom w:val="single" w:sz="4" w:space="0" w:color="auto"/>
              <w:right w:val="single" w:sz="4" w:space="0" w:color="auto"/>
            </w:tcBorders>
            <w:shd w:val="clear" w:color="auto" w:fill="auto"/>
            <w:vAlign w:val="center"/>
          </w:tcPr>
          <w:p w14:paraId="121D808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FUBÁ DE MILHO, APLICAÇÃO: NUTRIÇÃO ANIMAL. APRESENTAÇÃO EM SACOS (SC) COM PESOS PADRONIZADOS DE 50 KG. COMPOSIÇÃO (NÍVEIS DE GARANTIA EM % DA MS): UMIDADE (MÁX.): 13%; PROTEÍNA BRUTA (MÍN.): 9%; NUTRIENTES DIGESTÍVEIS TOTAIS (MÍN.): 85% </w:t>
            </w:r>
          </w:p>
        </w:tc>
        <w:tc>
          <w:tcPr>
            <w:tcW w:w="389" w:type="pct"/>
            <w:tcBorders>
              <w:top w:val="nil"/>
              <w:left w:val="nil"/>
              <w:bottom w:val="single" w:sz="4" w:space="0" w:color="auto"/>
              <w:right w:val="single" w:sz="4" w:space="0" w:color="auto"/>
            </w:tcBorders>
            <w:shd w:val="clear" w:color="auto" w:fill="auto"/>
            <w:vAlign w:val="center"/>
          </w:tcPr>
          <w:p w14:paraId="10D8D86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207</w:t>
            </w:r>
          </w:p>
        </w:tc>
        <w:tc>
          <w:tcPr>
            <w:tcW w:w="344" w:type="pct"/>
            <w:tcBorders>
              <w:top w:val="nil"/>
              <w:left w:val="nil"/>
              <w:bottom w:val="single" w:sz="4" w:space="0" w:color="auto"/>
              <w:right w:val="single" w:sz="4" w:space="0" w:color="auto"/>
            </w:tcBorders>
            <w:shd w:val="clear" w:color="auto" w:fill="auto"/>
            <w:vAlign w:val="center"/>
          </w:tcPr>
          <w:p w14:paraId="69F25F4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Sc 50Kg</w:t>
            </w:r>
          </w:p>
        </w:tc>
        <w:tc>
          <w:tcPr>
            <w:tcW w:w="544" w:type="pct"/>
            <w:tcBorders>
              <w:top w:val="nil"/>
              <w:left w:val="nil"/>
              <w:bottom w:val="single" w:sz="4" w:space="0" w:color="auto"/>
              <w:right w:val="single" w:sz="4" w:space="0" w:color="auto"/>
            </w:tcBorders>
            <w:shd w:val="clear" w:color="auto" w:fill="auto"/>
            <w:noWrap/>
            <w:vAlign w:val="center"/>
          </w:tcPr>
          <w:p w14:paraId="123CFBC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173,75 </w:t>
            </w:r>
          </w:p>
        </w:tc>
        <w:tc>
          <w:tcPr>
            <w:tcW w:w="644" w:type="pct"/>
            <w:tcBorders>
              <w:top w:val="nil"/>
              <w:left w:val="nil"/>
              <w:bottom w:val="single" w:sz="4" w:space="0" w:color="auto"/>
              <w:right w:val="single" w:sz="4" w:space="0" w:color="auto"/>
            </w:tcBorders>
            <w:shd w:val="clear" w:color="auto" w:fill="auto"/>
            <w:noWrap/>
            <w:vAlign w:val="center"/>
          </w:tcPr>
          <w:p w14:paraId="4894FAB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35.966,25 </w:t>
            </w:r>
          </w:p>
        </w:tc>
      </w:tr>
      <w:tr w:rsidR="00E878FB" w14:paraId="64C7C113"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66B93CE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37 </w:t>
            </w:r>
          </w:p>
        </w:tc>
        <w:tc>
          <w:tcPr>
            <w:tcW w:w="2789" w:type="pct"/>
            <w:tcBorders>
              <w:top w:val="nil"/>
              <w:left w:val="nil"/>
              <w:bottom w:val="single" w:sz="4" w:space="0" w:color="auto"/>
              <w:right w:val="single" w:sz="4" w:space="0" w:color="auto"/>
            </w:tcBorders>
            <w:shd w:val="clear" w:color="auto" w:fill="auto"/>
            <w:vAlign w:val="center"/>
          </w:tcPr>
          <w:p w14:paraId="6B637D7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GAIOLA COMPLETA P/ CAMUNDONGOS C/ TAMPA AÇO INOX E BEBEDOURO - MEDIDAS APROXIMADAS: 30 X 20 X 13CM </w:t>
            </w:r>
          </w:p>
        </w:tc>
        <w:tc>
          <w:tcPr>
            <w:tcW w:w="389" w:type="pct"/>
            <w:tcBorders>
              <w:top w:val="nil"/>
              <w:left w:val="nil"/>
              <w:bottom w:val="single" w:sz="4" w:space="0" w:color="auto"/>
              <w:right w:val="single" w:sz="4" w:space="0" w:color="auto"/>
            </w:tcBorders>
            <w:shd w:val="clear" w:color="auto" w:fill="auto"/>
            <w:vAlign w:val="center"/>
          </w:tcPr>
          <w:p w14:paraId="62D1BDA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44" w:type="pct"/>
            <w:tcBorders>
              <w:top w:val="nil"/>
              <w:left w:val="nil"/>
              <w:bottom w:val="single" w:sz="4" w:space="0" w:color="auto"/>
              <w:right w:val="single" w:sz="4" w:space="0" w:color="auto"/>
            </w:tcBorders>
            <w:shd w:val="clear" w:color="auto" w:fill="auto"/>
            <w:vAlign w:val="center"/>
          </w:tcPr>
          <w:p w14:paraId="2365DE7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1614BF3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277,63 </w:t>
            </w:r>
          </w:p>
        </w:tc>
        <w:tc>
          <w:tcPr>
            <w:tcW w:w="644" w:type="pct"/>
            <w:tcBorders>
              <w:top w:val="nil"/>
              <w:left w:val="nil"/>
              <w:bottom w:val="single" w:sz="4" w:space="0" w:color="auto"/>
              <w:right w:val="single" w:sz="4" w:space="0" w:color="auto"/>
            </w:tcBorders>
            <w:shd w:val="clear" w:color="auto" w:fill="auto"/>
            <w:noWrap/>
            <w:vAlign w:val="center"/>
          </w:tcPr>
          <w:p w14:paraId="34F98DF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2.776,30 </w:t>
            </w:r>
          </w:p>
        </w:tc>
      </w:tr>
      <w:tr w:rsidR="00E878FB" w14:paraId="7B735C1E"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5E46E44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38 </w:t>
            </w:r>
          </w:p>
        </w:tc>
        <w:tc>
          <w:tcPr>
            <w:tcW w:w="2789" w:type="pct"/>
            <w:tcBorders>
              <w:top w:val="nil"/>
              <w:left w:val="nil"/>
              <w:bottom w:val="single" w:sz="4" w:space="0" w:color="auto"/>
              <w:right w:val="single" w:sz="4" w:space="0" w:color="auto"/>
            </w:tcBorders>
            <w:shd w:val="clear" w:color="auto" w:fill="auto"/>
            <w:vAlign w:val="center"/>
          </w:tcPr>
          <w:p w14:paraId="60B01A4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GAIOLA COMPLETA P/ RATOS C/ TAMPA AÇO INOX E BEBEDOURO - MEDIDAS: 41 X 34 X 18CM </w:t>
            </w:r>
          </w:p>
        </w:tc>
        <w:tc>
          <w:tcPr>
            <w:tcW w:w="389" w:type="pct"/>
            <w:tcBorders>
              <w:top w:val="nil"/>
              <w:left w:val="nil"/>
              <w:bottom w:val="single" w:sz="4" w:space="0" w:color="auto"/>
              <w:right w:val="single" w:sz="4" w:space="0" w:color="auto"/>
            </w:tcBorders>
            <w:shd w:val="clear" w:color="auto" w:fill="auto"/>
            <w:vAlign w:val="center"/>
          </w:tcPr>
          <w:p w14:paraId="5EEC451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44" w:type="pct"/>
            <w:tcBorders>
              <w:top w:val="nil"/>
              <w:left w:val="nil"/>
              <w:bottom w:val="single" w:sz="4" w:space="0" w:color="auto"/>
              <w:right w:val="single" w:sz="4" w:space="0" w:color="auto"/>
            </w:tcBorders>
            <w:shd w:val="clear" w:color="auto" w:fill="auto"/>
            <w:vAlign w:val="center"/>
          </w:tcPr>
          <w:p w14:paraId="292391D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549FDDE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240,93 </w:t>
            </w:r>
          </w:p>
        </w:tc>
        <w:tc>
          <w:tcPr>
            <w:tcW w:w="644" w:type="pct"/>
            <w:tcBorders>
              <w:top w:val="nil"/>
              <w:left w:val="nil"/>
              <w:bottom w:val="single" w:sz="4" w:space="0" w:color="auto"/>
              <w:right w:val="single" w:sz="4" w:space="0" w:color="auto"/>
            </w:tcBorders>
            <w:shd w:val="clear" w:color="auto" w:fill="auto"/>
            <w:noWrap/>
            <w:vAlign w:val="center"/>
          </w:tcPr>
          <w:p w14:paraId="14116C4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2.409,30 </w:t>
            </w:r>
          </w:p>
        </w:tc>
      </w:tr>
      <w:tr w:rsidR="00E878FB" w14:paraId="1818EB7A"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13A1EEE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39 </w:t>
            </w:r>
          </w:p>
        </w:tc>
        <w:tc>
          <w:tcPr>
            <w:tcW w:w="2789" w:type="pct"/>
            <w:tcBorders>
              <w:top w:val="nil"/>
              <w:left w:val="nil"/>
              <w:bottom w:val="single" w:sz="4" w:space="0" w:color="auto"/>
              <w:right w:val="single" w:sz="4" w:space="0" w:color="auto"/>
            </w:tcBorders>
            <w:shd w:val="clear" w:color="auto" w:fill="auto"/>
            <w:vAlign w:val="center"/>
          </w:tcPr>
          <w:p w14:paraId="4657AFA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INSETICIDA DELTAMETRINA, 01 LITRO, GRUPO QUÍMICO: FENIL, PIRAZOL, FIPRONIL: 2,5%, VEÍCULO: 97,5% </w:t>
            </w:r>
            <w:r>
              <w:rPr>
                <w:rFonts w:ascii="Calibri" w:eastAsia="Times New Roman" w:hAnsi="Calibri"/>
                <w:color w:val="000000"/>
                <w:sz w:val="16"/>
                <w:szCs w:val="16"/>
              </w:rPr>
              <w:t>(CORETRINE 25 CE ou de melhor qualidade)</w:t>
            </w:r>
          </w:p>
        </w:tc>
        <w:tc>
          <w:tcPr>
            <w:tcW w:w="389" w:type="pct"/>
            <w:tcBorders>
              <w:top w:val="nil"/>
              <w:left w:val="nil"/>
              <w:bottom w:val="single" w:sz="4" w:space="0" w:color="auto"/>
              <w:right w:val="single" w:sz="4" w:space="0" w:color="auto"/>
            </w:tcBorders>
            <w:shd w:val="clear" w:color="auto" w:fill="auto"/>
            <w:vAlign w:val="center"/>
          </w:tcPr>
          <w:p w14:paraId="2CFB2E7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44" w:type="pct"/>
            <w:tcBorders>
              <w:top w:val="nil"/>
              <w:left w:val="nil"/>
              <w:bottom w:val="single" w:sz="4" w:space="0" w:color="auto"/>
              <w:right w:val="single" w:sz="4" w:space="0" w:color="auto"/>
            </w:tcBorders>
            <w:shd w:val="clear" w:color="auto" w:fill="auto"/>
            <w:vAlign w:val="center"/>
          </w:tcPr>
          <w:p w14:paraId="3B31F13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06003D2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100,53 </w:t>
            </w:r>
          </w:p>
        </w:tc>
        <w:tc>
          <w:tcPr>
            <w:tcW w:w="644" w:type="pct"/>
            <w:tcBorders>
              <w:top w:val="nil"/>
              <w:left w:val="nil"/>
              <w:bottom w:val="single" w:sz="4" w:space="0" w:color="auto"/>
              <w:right w:val="single" w:sz="4" w:space="0" w:color="auto"/>
            </w:tcBorders>
            <w:shd w:val="clear" w:color="auto" w:fill="auto"/>
            <w:noWrap/>
            <w:vAlign w:val="center"/>
          </w:tcPr>
          <w:p w14:paraId="5236B70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1.507,95 </w:t>
            </w:r>
          </w:p>
        </w:tc>
      </w:tr>
      <w:tr w:rsidR="00E878FB" w14:paraId="7B642581" w14:textId="77777777" w:rsidTr="00156804">
        <w:trPr>
          <w:trHeight w:val="274"/>
        </w:trPr>
        <w:tc>
          <w:tcPr>
            <w:tcW w:w="289" w:type="pct"/>
            <w:tcBorders>
              <w:top w:val="nil"/>
              <w:left w:val="double" w:sz="6" w:space="0" w:color="auto"/>
              <w:bottom w:val="single" w:sz="4" w:space="0" w:color="auto"/>
              <w:right w:val="single" w:sz="4" w:space="0" w:color="auto"/>
            </w:tcBorders>
            <w:shd w:val="clear" w:color="auto" w:fill="auto"/>
            <w:vAlign w:val="center"/>
          </w:tcPr>
          <w:p w14:paraId="0F0E6FE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40 </w:t>
            </w:r>
          </w:p>
        </w:tc>
        <w:tc>
          <w:tcPr>
            <w:tcW w:w="2789" w:type="pct"/>
            <w:tcBorders>
              <w:top w:val="nil"/>
              <w:left w:val="nil"/>
              <w:bottom w:val="single" w:sz="4" w:space="0" w:color="auto"/>
              <w:right w:val="single" w:sz="4" w:space="0" w:color="auto"/>
            </w:tcBorders>
            <w:shd w:val="clear" w:color="auto" w:fill="auto"/>
            <w:vAlign w:val="center"/>
          </w:tcPr>
          <w:p w14:paraId="37E8B15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IVERMECTINA 1% - FRASCO 500 ML </w:t>
            </w:r>
          </w:p>
        </w:tc>
        <w:tc>
          <w:tcPr>
            <w:tcW w:w="389" w:type="pct"/>
            <w:tcBorders>
              <w:top w:val="nil"/>
              <w:left w:val="nil"/>
              <w:bottom w:val="single" w:sz="4" w:space="0" w:color="auto"/>
              <w:right w:val="single" w:sz="4" w:space="0" w:color="auto"/>
            </w:tcBorders>
            <w:shd w:val="clear" w:color="auto" w:fill="auto"/>
            <w:vAlign w:val="center"/>
          </w:tcPr>
          <w:p w14:paraId="74E7183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50</w:t>
            </w:r>
          </w:p>
        </w:tc>
        <w:tc>
          <w:tcPr>
            <w:tcW w:w="344" w:type="pct"/>
            <w:tcBorders>
              <w:top w:val="nil"/>
              <w:left w:val="nil"/>
              <w:bottom w:val="single" w:sz="4" w:space="0" w:color="auto"/>
              <w:right w:val="single" w:sz="4" w:space="0" w:color="auto"/>
            </w:tcBorders>
            <w:shd w:val="clear" w:color="auto" w:fill="auto"/>
            <w:vAlign w:val="center"/>
          </w:tcPr>
          <w:p w14:paraId="6098BAC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5E41C17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72,31 </w:t>
            </w:r>
          </w:p>
        </w:tc>
        <w:tc>
          <w:tcPr>
            <w:tcW w:w="644" w:type="pct"/>
            <w:tcBorders>
              <w:top w:val="nil"/>
              <w:left w:val="nil"/>
              <w:bottom w:val="single" w:sz="4" w:space="0" w:color="auto"/>
              <w:right w:val="single" w:sz="4" w:space="0" w:color="auto"/>
            </w:tcBorders>
            <w:shd w:val="clear" w:color="auto" w:fill="auto"/>
            <w:noWrap/>
            <w:vAlign w:val="center"/>
          </w:tcPr>
          <w:p w14:paraId="1BA7473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3.615,50 </w:t>
            </w:r>
          </w:p>
        </w:tc>
      </w:tr>
      <w:tr w:rsidR="00E878FB" w14:paraId="4B9FC432" w14:textId="77777777" w:rsidTr="00156804">
        <w:trPr>
          <w:trHeight w:val="574"/>
        </w:trPr>
        <w:tc>
          <w:tcPr>
            <w:tcW w:w="289" w:type="pct"/>
            <w:tcBorders>
              <w:top w:val="nil"/>
              <w:left w:val="double" w:sz="6" w:space="0" w:color="auto"/>
              <w:bottom w:val="single" w:sz="4" w:space="0" w:color="auto"/>
              <w:right w:val="single" w:sz="4" w:space="0" w:color="auto"/>
            </w:tcBorders>
            <w:shd w:val="clear" w:color="auto" w:fill="auto"/>
            <w:vAlign w:val="center"/>
          </w:tcPr>
          <w:p w14:paraId="4BFFB0D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41 </w:t>
            </w:r>
          </w:p>
        </w:tc>
        <w:tc>
          <w:tcPr>
            <w:tcW w:w="2789" w:type="pct"/>
            <w:tcBorders>
              <w:top w:val="nil"/>
              <w:left w:val="nil"/>
              <w:bottom w:val="single" w:sz="4" w:space="0" w:color="auto"/>
              <w:right w:val="single" w:sz="4" w:space="0" w:color="auto"/>
            </w:tcBorders>
            <w:shd w:val="clear" w:color="auto" w:fill="auto"/>
            <w:vAlign w:val="center"/>
          </w:tcPr>
          <w:p w14:paraId="2B30D07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IVERMECTINA 1%, INJETÁVEL, USO VETERINÁRIO, SUSPENSÃO INJETÁVEL, (CONCENTRAÇÃO DE IVERMECTINA DE 1%), COMPOSIÇÃO (POR 100 ML), IVERMECTINA 1,0 G, VEÍCULO Q.S.P.100,00 ML, EMBALAGENS COM VOLUME PADRONIZADO DE 50 ML </w:t>
            </w:r>
          </w:p>
        </w:tc>
        <w:tc>
          <w:tcPr>
            <w:tcW w:w="389" w:type="pct"/>
            <w:tcBorders>
              <w:top w:val="nil"/>
              <w:left w:val="nil"/>
              <w:bottom w:val="single" w:sz="4" w:space="0" w:color="auto"/>
              <w:right w:val="single" w:sz="4" w:space="0" w:color="auto"/>
            </w:tcBorders>
            <w:shd w:val="clear" w:color="auto" w:fill="auto"/>
            <w:vAlign w:val="center"/>
          </w:tcPr>
          <w:p w14:paraId="0AB98E2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44" w:type="pct"/>
            <w:tcBorders>
              <w:top w:val="nil"/>
              <w:left w:val="nil"/>
              <w:bottom w:val="single" w:sz="4" w:space="0" w:color="auto"/>
              <w:right w:val="single" w:sz="4" w:space="0" w:color="auto"/>
            </w:tcBorders>
            <w:shd w:val="clear" w:color="auto" w:fill="auto"/>
            <w:vAlign w:val="center"/>
          </w:tcPr>
          <w:p w14:paraId="0B8FB88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23A7C42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17,08 </w:t>
            </w:r>
          </w:p>
        </w:tc>
        <w:tc>
          <w:tcPr>
            <w:tcW w:w="644" w:type="pct"/>
            <w:tcBorders>
              <w:top w:val="nil"/>
              <w:left w:val="nil"/>
              <w:bottom w:val="single" w:sz="4" w:space="0" w:color="auto"/>
              <w:right w:val="single" w:sz="4" w:space="0" w:color="auto"/>
            </w:tcBorders>
            <w:shd w:val="clear" w:color="auto" w:fill="auto"/>
            <w:noWrap/>
            <w:vAlign w:val="center"/>
          </w:tcPr>
          <w:p w14:paraId="761CD83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204,96 </w:t>
            </w:r>
          </w:p>
        </w:tc>
      </w:tr>
      <w:tr w:rsidR="00E878FB" w14:paraId="405F7131" w14:textId="77777777" w:rsidTr="00156804">
        <w:trPr>
          <w:trHeight w:val="839"/>
        </w:trPr>
        <w:tc>
          <w:tcPr>
            <w:tcW w:w="289" w:type="pct"/>
            <w:tcBorders>
              <w:top w:val="nil"/>
              <w:left w:val="double" w:sz="6" w:space="0" w:color="auto"/>
              <w:bottom w:val="single" w:sz="4" w:space="0" w:color="auto"/>
              <w:right w:val="single" w:sz="4" w:space="0" w:color="auto"/>
            </w:tcBorders>
            <w:shd w:val="clear" w:color="auto" w:fill="auto"/>
            <w:vAlign w:val="center"/>
          </w:tcPr>
          <w:p w14:paraId="4B3682B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42 </w:t>
            </w:r>
          </w:p>
        </w:tc>
        <w:tc>
          <w:tcPr>
            <w:tcW w:w="2789" w:type="pct"/>
            <w:tcBorders>
              <w:top w:val="nil"/>
              <w:left w:val="nil"/>
              <w:bottom w:val="single" w:sz="4" w:space="0" w:color="auto"/>
              <w:right w:val="single" w:sz="4" w:space="0" w:color="auto"/>
            </w:tcBorders>
            <w:shd w:val="clear" w:color="auto" w:fill="auto"/>
            <w:vAlign w:val="center"/>
          </w:tcPr>
          <w:p w14:paraId="0541641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IVERMECTINA 3,15%, INJETÁVEL, USO VETERINÁRIO, SUSPENSÃO INJETÁVEL (CONCENTRAÇÃO DE IVERMECTINA DE 3,15%), COMPOSIÇÃO (POR 100 ML), IVERMECTINA 3,15 G, VEÍCULO Q.S.P.100,00 ML, EMBALAGENS COM VOLUME PADRONIZADO DE 50 ML </w:t>
            </w:r>
          </w:p>
        </w:tc>
        <w:tc>
          <w:tcPr>
            <w:tcW w:w="389" w:type="pct"/>
            <w:tcBorders>
              <w:top w:val="nil"/>
              <w:left w:val="nil"/>
              <w:bottom w:val="single" w:sz="4" w:space="0" w:color="auto"/>
              <w:right w:val="single" w:sz="4" w:space="0" w:color="auto"/>
            </w:tcBorders>
            <w:shd w:val="clear" w:color="auto" w:fill="auto"/>
            <w:vAlign w:val="center"/>
          </w:tcPr>
          <w:p w14:paraId="38A8EC3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44" w:type="pct"/>
            <w:tcBorders>
              <w:top w:val="nil"/>
              <w:left w:val="nil"/>
              <w:bottom w:val="single" w:sz="4" w:space="0" w:color="auto"/>
              <w:right w:val="single" w:sz="4" w:space="0" w:color="auto"/>
            </w:tcBorders>
            <w:shd w:val="clear" w:color="auto" w:fill="auto"/>
            <w:vAlign w:val="center"/>
          </w:tcPr>
          <w:p w14:paraId="437AE67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5CE8B0C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57,88 </w:t>
            </w:r>
          </w:p>
        </w:tc>
        <w:tc>
          <w:tcPr>
            <w:tcW w:w="644" w:type="pct"/>
            <w:tcBorders>
              <w:top w:val="nil"/>
              <w:left w:val="nil"/>
              <w:bottom w:val="single" w:sz="4" w:space="0" w:color="auto"/>
              <w:right w:val="single" w:sz="4" w:space="0" w:color="auto"/>
            </w:tcBorders>
            <w:shd w:val="clear" w:color="auto" w:fill="auto"/>
            <w:noWrap/>
            <w:vAlign w:val="center"/>
          </w:tcPr>
          <w:p w14:paraId="65D1E58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868,20 </w:t>
            </w:r>
          </w:p>
        </w:tc>
      </w:tr>
      <w:tr w:rsidR="00E878FB" w14:paraId="24B61480" w14:textId="77777777" w:rsidTr="00156804">
        <w:trPr>
          <w:trHeight w:val="450"/>
        </w:trPr>
        <w:tc>
          <w:tcPr>
            <w:tcW w:w="289" w:type="pct"/>
            <w:tcBorders>
              <w:top w:val="nil"/>
              <w:left w:val="double" w:sz="6" w:space="0" w:color="auto"/>
              <w:bottom w:val="single" w:sz="4" w:space="0" w:color="auto"/>
              <w:right w:val="single" w:sz="4" w:space="0" w:color="auto"/>
            </w:tcBorders>
            <w:shd w:val="clear" w:color="auto" w:fill="auto"/>
            <w:vAlign w:val="center"/>
          </w:tcPr>
          <w:p w14:paraId="2886360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43 </w:t>
            </w:r>
          </w:p>
        </w:tc>
        <w:tc>
          <w:tcPr>
            <w:tcW w:w="2789" w:type="pct"/>
            <w:tcBorders>
              <w:top w:val="nil"/>
              <w:left w:val="nil"/>
              <w:bottom w:val="single" w:sz="4" w:space="0" w:color="auto"/>
              <w:right w:val="single" w:sz="4" w:space="0" w:color="auto"/>
            </w:tcBorders>
            <w:shd w:val="clear" w:color="auto" w:fill="auto"/>
            <w:vAlign w:val="center"/>
          </w:tcPr>
          <w:p w14:paraId="3FD35A1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KETAMINA - CLORIDRATO DE CETAMINA - ANESTESICO PARA PEQUENOS ANIMAIS - 10% (O,1 MG/ML) - 10ML </w:t>
            </w:r>
          </w:p>
        </w:tc>
        <w:tc>
          <w:tcPr>
            <w:tcW w:w="389" w:type="pct"/>
            <w:tcBorders>
              <w:top w:val="nil"/>
              <w:left w:val="nil"/>
              <w:bottom w:val="single" w:sz="4" w:space="0" w:color="auto"/>
              <w:right w:val="single" w:sz="4" w:space="0" w:color="auto"/>
            </w:tcBorders>
            <w:shd w:val="clear" w:color="auto" w:fill="auto"/>
            <w:vAlign w:val="center"/>
          </w:tcPr>
          <w:p w14:paraId="2A353E3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84</w:t>
            </w:r>
          </w:p>
        </w:tc>
        <w:tc>
          <w:tcPr>
            <w:tcW w:w="344" w:type="pct"/>
            <w:tcBorders>
              <w:top w:val="nil"/>
              <w:left w:val="nil"/>
              <w:bottom w:val="single" w:sz="4" w:space="0" w:color="auto"/>
              <w:right w:val="single" w:sz="4" w:space="0" w:color="auto"/>
            </w:tcBorders>
            <w:shd w:val="clear" w:color="auto" w:fill="auto"/>
            <w:vAlign w:val="center"/>
          </w:tcPr>
          <w:p w14:paraId="57A08D7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4560AF2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58,32 </w:t>
            </w:r>
          </w:p>
        </w:tc>
        <w:tc>
          <w:tcPr>
            <w:tcW w:w="644" w:type="pct"/>
            <w:tcBorders>
              <w:top w:val="nil"/>
              <w:left w:val="nil"/>
              <w:bottom w:val="single" w:sz="4" w:space="0" w:color="auto"/>
              <w:right w:val="single" w:sz="4" w:space="0" w:color="auto"/>
            </w:tcBorders>
            <w:shd w:val="clear" w:color="auto" w:fill="auto"/>
            <w:noWrap/>
            <w:vAlign w:val="center"/>
          </w:tcPr>
          <w:p w14:paraId="292C549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4.898,88 </w:t>
            </w:r>
          </w:p>
        </w:tc>
      </w:tr>
      <w:tr w:rsidR="00E878FB" w14:paraId="344890A2" w14:textId="77777777" w:rsidTr="00156804">
        <w:trPr>
          <w:trHeight w:val="92"/>
        </w:trPr>
        <w:tc>
          <w:tcPr>
            <w:tcW w:w="289" w:type="pct"/>
            <w:tcBorders>
              <w:top w:val="nil"/>
              <w:left w:val="double" w:sz="6" w:space="0" w:color="auto"/>
              <w:bottom w:val="single" w:sz="4" w:space="0" w:color="auto"/>
              <w:right w:val="single" w:sz="4" w:space="0" w:color="auto"/>
            </w:tcBorders>
            <w:shd w:val="clear" w:color="auto" w:fill="auto"/>
            <w:vAlign w:val="center"/>
          </w:tcPr>
          <w:p w14:paraId="783D3EB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44 </w:t>
            </w:r>
          </w:p>
        </w:tc>
        <w:tc>
          <w:tcPr>
            <w:tcW w:w="2789" w:type="pct"/>
            <w:tcBorders>
              <w:top w:val="nil"/>
              <w:left w:val="nil"/>
              <w:bottom w:val="single" w:sz="4" w:space="0" w:color="auto"/>
              <w:right w:val="single" w:sz="4" w:space="0" w:color="auto"/>
            </w:tcBorders>
            <w:shd w:val="clear" w:color="auto" w:fill="auto"/>
            <w:vAlign w:val="center"/>
          </w:tcPr>
          <w:p w14:paraId="609B4ED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MATRIZ DE ESCARGOT CORNU ASPERSUM MAXIMUM </w:t>
            </w:r>
          </w:p>
        </w:tc>
        <w:tc>
          <w:tcPr>
            <w:tcW w:w="389" w:type="pct"/>
            <w:tcBorders>
              <w:top w:val="nil"/>
              <w:left w:val="nil"/>
              <w:bottom w:val="single" w:sz="4" w:space="0" w:color="auto"/>
              <w:right w:val="single" w:sz="4" w:space="0" w:color="auto"/>
            </w:tcBorders>
            <w:shd w:val="clear" w:color="auto" w:fill="auto"/>
            <w:vAlign w:val="center"/>
          </w:tcPr>
          <w:p w14:paraId="412B701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120</w:t>
            </w:r>
          </w:p>
        </w:tc>
        <w:tc>
          <w:tcPr>
            <w:tcW w:w="344" w:type="pct"/>
            <w:tcBorders>
              <w:top w:val="nil"/>
              <w:left w:val="nil"/>
              <w:bottom w:val="single" w:sz="4" w:space="0" w:color="auto"/>
              <w:right w:val="single" w:sz="4" w:space="0" w:color="auto"/>
            </w:tcBorders>
            <w:shd w:val="clear" w:color="auto" w:fill="auto"/>
            <w:vAlign w:val="center"/>
          </w:tcPr>
          <w:p w14:paraId="3A77AC6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1C1D859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266,66 </w:t>
            </w:r>
          </w:p>
        </w:tc>
        <w:tc>
          <w:tcPr>
            <w:tcW w:w="644" w:type="pct"/>
            <w:tcBorders>
              <w:top w:val="nil"/>
              <w:left w:val="nil"/>
              <w:bottom w:val="single" w:sz="4" w:space="0" w:color="auto"/>
              <w:right w:val="single" w:sz="4" w:space="0" w:color="auto"/>
            </w:tcBorders>
            <w:shd w:val="clear" w:color="auto" w:fill="auto"/>
            <w:noWrap/>
            <w:vAlign w:val="center"/>
          </w:tcPr>
          <w:p w14:paraId="3399F49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31.999,20 </w:t>
            </w:r>
          </w:p>
        </w:tc>
      </w:tr>
      <w:tr w:rsidR="00E878FB" w14:paraId="234FE9CE" w14:textId="77777777" w:rsidTr="00156804">
        <w:trPr>
          <w:trHeight w:val="2447"/>
        </w:trPr>
        <w:tc>
          <w:tcPr>
            <w:tcW w:w="289" w:type="pct"/>
            <w:tcBorders>
              <w:top w:val="nil"/>
              <w:left w:val="double" w:sz="6" w:space="0" w:color="auto"/>
              <w:bottom w:val="single" w:sz="4" w:space="0" w:color="auto"/>
              <w:right w:val="single" w:sz="4" w:space="0" w:color="auto"/>
            </w:tcBorders>
            <w:shd w:val="clear" w:color="auto" w:fill="auto"/>
            <w:vAlign w:val="center"/>
          </w:tcPr>
          <w:p w14:paraId="5EE1598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45 </w:t>
            </w:r>
          </w:p>
        </w:tc>
        <w:tc>
          <w:tcPr>
            <w:tcW w:w="2789" w:type="pct"/>
            <w:tcBorders>
              <w:top w:val="nil"/>
              <w:left w:val="nil"/>
              <w:bottom w:val="single" w:sz="4" w:space="0" w:color="auto"/>
              <w:right w:val="single" w:sz="4" w:space="0" w:color="auto"/>
            </w:tcBorders>
            <w:shd w:val="clear" w:color="auto" w:fill="auto"/>
            <w:vAlign w:val="center"/>
          </w:tcPr>
          <w:p w14:paraId="0634CFF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Ovino da raça Dorper; macho reprodutor (carneiro e/ou borrego) com idade de 12 a 18 meses, pelagem branca com a cabeça preta. Não deve apresentar manchas pretas fora da região da cabeça e pescoço. O animal, bem como todos pais e avós devem ser registrados como PO pela Associação Brasileira de Criadores de Dorper – ABCDORPER (credenciado à Associação Brasileira de Criadores de Ovinos; ARCO); ser mocho; ser saudável, sem apresentar doenças; e apresentar atestado de exame andrológico e laudo de que está apto para reprodução, bem como atestado de saúde e vacinação contra clostridioses, linfadenite caseosa e brucelose, emitidos por Médico Veterinário credenciado pelo CRMV. As despesas com os atestados do Médico Veterinário e com a guia oficial de transporte exigidos pelas agências oficiais de defesa sanitária devem estar inclusas </w:t>
            </w:r>
          </w:p>
        </w:tc>
        <w:tc>
          <w:tcPr>
            <w:tcW w:w="389" w:type="pct"/>
            <w:tcBorders>
              <w:top w:val="nil"/>
              <w:left w:val="nil"/>
              <w:bottom w:val="single" w:sz="4" w:space="0" w:color="auto"/>
              <w:right w:val="single" w:sz="4" w:space="0" w:color="auto"/>
            </w:tcBorders>
            <w:shd w:val="clear" w:color="auto" w:fill="auto"/>
            <w:vAlign w:val="center"/>
          </w:tcPr>
          <w:p w14:paraId="3319E4A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w:t>
            </w:r>
          </w:p>
        </w:tc>
        <w:tc>
          <w:tcPr>
            <w:tcW w:w="344" w:type="pct"/>
            <w:tcBorders>
              <w:top w:val="nil"/>
              <w:left w:val="nil"/>
              <w:bottom w:val="single" w:sz="4" w:space="0" w:color="auto"/>
              <w:right w:val="single" w:sz="4" w:space="0" w:color="auto"/>
            </w:tcBorders>
            <w:shd w:val="clear" w:color="auto" w:fill="auto"/>
            <w:vAlign w:val="center"/>
          </w:tcPr>
          <w:p w14:paraId="0364E86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UNID.</w:t>
            </w:r>
          </w:p>
        </w:tc>
        <w:tc>
          <w:tcPr>
            <w:tcW w:w="544" w:type="pct"/>
            <w:tcBorders>
              <w:top w:val="nil"/>
              <w:left w:val="nil"/>
              <w:bottom w:val="single" w:sz="4" w:space="0" w:color="auto"/>
              <w:right w:val="single" w:sz="4" w:space="0" w:color="auto"/>
            </w:tcBorders>
            <w:shd w:val="clear" w:color="auto" w:fill="auto"/>
            <w:noWrap/>
            <w:vAlign w:val="center"/>
          </w:tcPr>
          <w:p w14:paraId="5134912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15.333,33 </w:t>
            </w:r>
          </w:p>
        </w:tc>
        <w:tc>
          <w:tcPr>
            <w:tcW w:w="644" w:type="pct"/>
            <w:tcBorders>
              <w:top w:val="nil"/>
              <w:left w:val="nil"/>
              <w:bottom w:val="single" w:sz="4" w:space="0" w:color="auto"/>
              <w:right w:val="single" w:sz="4" w:space="0" w:color="auto"/>
            </w:tcBorders>
            <w:shd w:val="clear" w:color="auto" w:fill="auto"/>
            <w:noWrap/>
            <w:vAlign w:val="center"/>
          </w:tcPr>
          <w:p w14:paraId="68B282C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30.666,66 </w:t>
            </w:r>
          </w:p>
        </w:tc>
      </w:tr>
      <w:tr w:rsidR="00E878FB" w14:paraId="4882A56D" w14:textId="77777777" w:rsidTr="00156804">
        <w:trPr>
          <w:trHeight w:val="1307"/>
        </w:trPr>
        <w:tc>
          <w:tcPr>
            <w:tcW w:w="289" w:type="pct"/>
            <w:tcBorders>
              <w:top w:val="nil"/>
              <w:left w:val="double" w:sz="6" w:space="0" w:color="auto"/>
              <w:bottom w:val="single" w:sz="4" w:space="0" w:color="auto"/>
              <w:right w:val="single" w:sz="4" w:space="0" w:color="auto"/>
            </w:tcBorders>
            <w:shd w:val="clear" w:color="auto" w:fill="auto"/>
            <w:vAlign w:val="center"/>
          </w:tcPr>
          <w:p w14:paraId="4BC951B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46 </w:t>
            </w:r>
          </w:p>
        </w:tc>
        <w:tc>
          <w:tcPr>
            <w:tcW w:w="2789" w:type="pct"/>
            <w:tcBorders>
              <w:top w:val="nil"/>
              <w:left w:val="nil"/>
              <w:bottom w:val="single" w:sz="4" w:space="0" w:color="auto"/>
              <w:right w:val="single" w:sz="4" w:space="0" w:color="auto"/>
            </w:tcBorders>
            <w:shd w:val="clear" w:color="auto" w:fill="auto"/>
            <w:vAlign w:val="center"/>
          </w:tcPr>
          <w:p w14:paraId="054F9C3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PENTABIÓTICO VETERINÁRIO REFORÇADO - ANTIINFECCIOSO DE AMPLO-ESPECTRO - SUSPENSÃO INJETÁVEL - USO VETERINÁRIO - COMPOSIÇÃO CINCO ANTIBIÓTICOS COM AÇÃO PREDOMINANTEMENTE BACTERICIDA - CADA FRASCO-AMPOLA (8,6 G) CONTÉM: BENZILPENICILINA BENZATINA 3.000.000 UI - BENZILPENICILINA PROCAÍNA 1.500.000 UI - BENZILPENICILINA POTÁSSICA 1.500.000 UI - DIIDROESTREPTOMICINA BASE (SULFATO) 1.250 MG - ESTREPTOMICINA BASE (SULFATO) 1.250 MG </w:t>
            </w:r>
          </w:p>
        </w:tc>
        <w:tc>
          <w:tcPr>
            <w:tcW w:w="389" w:type="pct"/>
            <w:tcBorders>
              <w:top w:val="nil"/>
              <w:left w:val="nil"/>
              <w:bottom w:val="single" w:sz="4" w:space="0" w:color="auto"/>
              <w:right w:val="single" w:sz="4" w:space="0" w:color="auto"/>
            </w:tcBorders>
            <w:shd w:val="clear" w:color="auto" w:fill="auto"/>
            <w:vAlign w:val="center"/>
          </w:tcPr>
          <w:p w14:paraId="5A28A43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44" w:type="pct"/>
            <w:tcBorders>
              <w:top w:val="nil"/>
              <w:left w:val="nil"/>
              <w:bottom w:val="single" w:sz="4" w:space="0" w:color="auto"/>
              <w:right w:val="single" w:sz="4" w:space="0" w:color="auto"/>
            </w:tcBorders>
            <w:shd w:val="clear" w:color="auto" w:fill="auto"/>
            <w:vAlign w:val="center"/>
          </w:tcPr>
          <w:p w14:paraId="6430178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2403C8E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27,08 </w:t>
            </w:r>
          </w:p>
        </w:tc>
        <w:tc>
          <w:tcPr>
            <w:tcW w:w="644" w:type="pct"/>
            <w:tcBorders>
              <w:top w:val="nil"/>
              <w:left w:val="nil"/>
              <w:bottom w:val="single" w:sz="4" w:space="0" w:color="auto"/>
              <w:right w:val="single" w:sz="4" w:space="0" w:color="auto"/>
            </w:tcBorders>
            <w:shd w:val="clear" w:color="auto" w:fill="auto"/>
            <w:noWrap/>
            <w:vAlign w:val="center"/>
          </w:tcPr>
          <w:p w14:paraId="403EE92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541,60 </w:t>
            </w:r>
          </w:p>
        </w:tc>
      </w:tr>
      <w:tr w:rsidR="00E878FB" w14:paraId="40710AD1" w14:textId="77777777" w:rsidTr="00156804">
        <w:trPr>
          <w:trHeight w:val="2206"/>
        </w:trPr>
        <w:tc>
          <w:tcPr>
            <w:tcW w:w="289" w:type="pct"/>
            <w:tcBorders>
              <w:top w:val="nil"/>
              <w:left w:val="double" w:sz="6" w:space="0" w:color="auto"/>
              <w:bottom w:val="single" w:sz="4" w:space="0" w:color="auto"/>
              <w:right w:val="single" w:sz="4" w:space="0" w:color="auto"/>
            </w:tcBorders>
            <w:shd w:val="clear" w:color="auto" w:fill="auto"/>
            <w:vAlign w:val="center"/>
          </w:tcPr>
          <w:p w14:paraId="57112BE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47 </w:t>
            </w:r>
          </w:p>
        </w:tc>
        <w:tc>
          <w:tcPr>
            <w:tcW w:w="2789" w:type="pct"/>
            <w:tcBorders>
              <w:top w:val="nil"/>
              <w:left w:val="nil"/>
              <w:bottom w:val="single" w:sz="4" w:space="0" w:color="auto"/>
              <w:right w:val="single" w:sz="4" w:space="0" w:color="auto"/>
            </w:tcBorders>
            <w:shd w:val="clear" w:color="auto" w:fill="auto"/>
            <w:vAlign w:val="center"/>
          </w:tcPr>
          <w:p w14:paraId="48CE069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PREMIX VITAMÍNICO E MINERAL PARA AVES DE POSTURA. CATEGORIA: POSTURA, EM PRODUÇÃO. APRESENTAÇÃO EM SACOS COM PESOS PADRONIZADOS, SENDO ESTES DE NO MÁXIMO 24 KG. COMPOSIÇÃO (NÍVEIS DE GARANTIA): ZINCO (MÍN): 6.500,00 MG/KG; VITAMINA A (MÍN): 1.000.000,00 UI/KG; VITAMINA B1 (MÍN): 120,00 MG/KG; VITAMINA B12 (MÍN): 700,00 MCG/KG; VITAMINA B2 (MÍN): 400,00 MG/KG; VITAMINA B6 (MÍN): 90,00 MG/KG; VITAMINA D3 (MÍN): 280.000,00 UI/KG; VITAMINA E (MÍN): 950,00 UI/KG; VITAMINA K3 (MÍN): 250,00 MG/KG; METIONINA (MÍN): 160,50 G/KG; COLINA (MÍN): 30,00 G/KG; ÁCIDO FÓLICO (MÍN): 12,00 MG/KG; ÁCIDO PANTOTÊNICO (MÍN): 1.200,00 MG/KG; BIOTINA (MÍN): 1,20 MG/KG; BACITRACINA DE ZINCO (MÍN): 2.900,00 MG/KG; CÁLCIO (MÍN): 120,00 G/KG; CÁLCIO (MAX): 200,00 G/KG </w:t>
            </w:r>
          </w:p>
        </w:tc>
        <w:tc>
          <w:tcPr>
            <w:tcW w:w="389" w:type="pct"/>
            <w:tcBorders>
              <w:top w:val="nil"/>
              <w:left w:val="nil"/>
              <w:bottom w:val="single" w:sz="4" w:space="0" w:color="auto"/>
              <w:right w:val="single" w:sz="4" w:space="0" w:color="auto"/>
            </w:tcBorders>
            <w:shd w:val="clear" w:color="auto" w:fill="auto"/>
            <w:vAlign w:val="center"/>
          </w:tcPr>
          <w:p w14:paraId="22DEFE1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44" w:type="pct"/>
            <w:tcBorders>
              <w:top w:val="nil"/>
              <w:left w:val="nil"/>
              <w:bottom w:val="single" w:sz="4" w:space="0" w:color="auto"/>
              <w:right w:val="single" w:sz="4" w:space="0" w:color="auto"/>
            </w:tcBorders>
            <w:shd w:val="clear" w:color="auto" w:fill="auto"/>
            <w:vAlign w:val="center"/>
          </w:tcPr>
          <w:p w14:paraId="5FC64CC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557D919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4,70 </w:t>
            </w:r>
          </w:p>
        </w:tc>
        <w:tc>
          <w:tcPr>
            <w:tcW w:w="644" w:type="pct"/>
            <w:tcBorders>
              <w:top w:val="nil"/>
              <w:left w:val="nil"/>
              <w:bottom w:val="single" w:sz="4" w:space="0" w:color="auto"/>
              <w:right w:val="single" w:sz="4" w:space="0" w:color="auto"/>
            </w:tcBorders>
            <w:shd w:val="clear" w:color="auto" w:fill="auto"/>
            <w:noWrap/>
            <w:vAlign w:val="center"/>
          </w:tcPr>
          <w:p w14:paraId="4D47396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94,00 </w:t>
            </w:r>
          </w:p>
        </w:tc>
      </w:tr>
      <w:tr w:rsidR="00E878FB" w14:paraId="3E5B9797" w14:textId="77777777" w:rsidTr="00156804">
        <w:trPr>
          <w:trHeight w:val="938"/>
        </w:trPr>
        <w:tc>
          <w:tcPr>
            <w:tcW w:w="289" w:type="pct"/>
            <w:tcBorders>
              <w:top w:val="nil"/>
              <w:left w:val="double" w:sz="6" w:space="0" w:color="auto"/>
              <w:bottom w:val="single" w:sz="4" w:space="0" w:color="auto"/>
              <w:right w:val="single" w:sz="4" w:space="0" w:color="auto"/>
            </w:tcBorders>
            <w:shd w:val="clear" w:color="auto" w:fill="auto"/>
            <w:vAlign w:val="center"/>
          </w:tcPr>
          <w:p w14:paraId="4BB8BFD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48 </w:t>
            </w:r>
          </w:p>
        </w:tc>
        <w:tc>
          <w:tcPr>
            <w:tcW w:w="2789" w:type="pct"/>
            <w:tcBorders>
              <w:top w:val="nil"/>
              <w:left w:val="nil"/>
              <w:bottom w:val="single" w:sz="4" w:space="0" w:color="auto"/>
              <w:right w:val="single" w:sz="4" w:space="0" w:color="auto"/>
            </w:tcBorders>
            <w:shd w:val="clear" w:color="auto" w:fill="auto"/>
            <w:vAlign w:val="center"/>
          </w:tcPr>
          <w:p w14:paraId="09A401E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RACAO COMPLETA BALANCEADA, PARA OVINOS, CATEGORIA: CRESCIMENTO, COMPOSICAO (NIVEIS DE GARANTIA EM % DA MS): UMIDADE (MAX.): 13%; PROTEINA BRUTA (MIN.): 17%; EXTRATO ETEREO (MIN.): 2,5%; MATERIA MINERAL (MAX.): 10%, CALCIO (MIN.): 1,0%; CÁLCIO (MAX.): 1,8%, FOSFORO (MIN.): 0,5%; NDT (MIN.): 72%. APRESENTACAO EM SACOS COM PESOS PADRONIZADOS DE 40 KG </w:t>
            </w:r>
          </w:p>
        </w:tc>
        <w:tc>
          <w:tcPr>
            <w:tcW w:w="389" w:type="pct"/>
            <w:tcBorders>
              <w:top w:val="nil"/>
              <w:left w:val="nil"/>
              <w:bottom w:val="single" w:sz="4" w:space="0" w:color="auto"/>
              <w:right w:val="single" w:sz="4" w:space="0" w:color="auto"/>
            </w:tcBorders>
            <w:shd w:val="clear" w:color="auto" w:fill="auto"/>
            <w:vAlign w:val="center"/>
          </w:tcPr>
          <w:p w14:paraId="73EAE01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260</w:t>
            </w:r>
          </w:p>
        </w:tc>
        <w:tc>
          <w:tcPr>
            <w:tcW w:w="344" w:type="pct"/>
            <w:tcBorders>
              <w:top w:val="nil"/>
              <w:left w:val="nil"/>
              <w:bottom w:val="single" w:sz="4" w:space="0" w:color="auto"/>
              <w:right w:val="single" w:sz="4" w:space="0" w:color="auto"/>
            </w:tcBorders>
            <w:shd w:val="clear" w:color="auto" w:fill="auto"/>
            <w:vAlign w:val="center"/>
          </w:tcPr>
          <w:p w14:paraId="14A41AB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76A1AD3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195,75 </w:t>
            </w:r>
          </w:p>
        </w:tc>
        <w:tc>
          <w:tcPr>
            <w:tcW w:w="644" w:type="pct"/>
            <w:tcBorders>
              <w:top w:val="nil"/>
              <w:left w:val="nil"/>
              <w:bottom w:val="single" w:sz="4" w:space="0" w:color="auto"/>
              <w:right w:val="single" w:sz="4" w:space="0" w:color="auto"/>
            </w:tcBorders>
            <w:shd w:val="clear" w:color="auto" w:fill="auto"/>
            <w:noWrap/>
            <w:vAlign w:val="center"/>
          </w:tcPr>
          <w:p w14:paraId="337F869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50.895,00 </w:t>
            </w:r>
          </w:p>
        </w:tc>
      </w:tr>
      <w:tr w:rsidR="00E878FB" w14:paraId="66992846" w14:textId="77777777" w:rsidTr="00156804">
        <w:trPr>
          <w:trHeight w:val="1575"/>
        </w:trPr>
        <w:tc>
          <w:tcPr>
            <w:tcW w:w="289" w:type="pct"/>
            <w:tcBorders>
              <w:top w:val="nil"/>
              <w:left w:val="double" w:sz="6" w:space="0" w:color="auto"/>
              <w:bottom w:val="single" w:sz="4" w:space="0" w:color="auto"/>
              <w:right w:val="single" w:sz="4" w:space="0" w:color="auto"/>
            </w:tcBorders>
            <w:shd w:val="clear" w:color="auto" w:fill="auto"/>
            <w:vAlign w:val="center"/>
          </w:tcPr>
          <w:p w14:paraId="5AD346E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49 </w:t>
            </w:r>
          </w:p>
        </w:tc>
        <w:tc>
          <w:tcPr>
            <w:tcW w:w="2789" w:type="pct"/>
            <w:tcBorders>
              <w:top w:val="nil"/>
              <w:left w:val="nil"/>
              <w:bottom w:val="single" w:sz="4" w:space="0" w:color="auto"/>
              <w:right w:val="single" w:sz="4" w:space="0" w:color="auto"/>
            </w:tcBorders>
            <w:shd w:val="clear" w:color="auto" w:fill="auto"/>
            <w:vAlign w:val="center"/>
          </w:tcPr>
          <w:p w14:paraId="765518C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RAÇÃO COMPLETA BALANCEADA, PARA CAPRINOS - CATEGORIA: INICIAL/CRESCIMENTO. APRESENTAÇÃO EM SACOS COM PESOS PADRONIZADOS DE 40 KG. COMPOSIÇÃO (NÍVEIS DE GARANTIA EM % DA MS): UMIDADE (MÁX.): 13%; PROTEÍNA BRUTA (MÍN.): 16%; EXTRATO ETÉREO (MÍN.): 2,5%; MATÉRIA MINERAL (MÁX.): 12%, CÁLCIO (MÍN.): 0,9%; CÁLCIO (MÁX.): 1,8%, FÓSFORO (MÍN.): 0,5%; NDT (MÍN.): 72%. </w:t>
            </w:r>
          </w:p>
        </w:tc>
        <w:tc>
          <w:tcPr>
            <w:tcW w:w="389" w:type="pct"/>
            <w:tcBorders>
              <w:top w:val="nil"/>
              <w:left w:val="nil"/>
              <w:bottom w:val="single" w:sz="4" w:space="0" w:color="auto"/>
              <w:right w:val="single" w:sz="4" w:space="0" w:color="auto"/>
            </w:tcBorders>
            <w:shd w:val="clear" w:color="auto" w:fill="auto"/>
            <w:vAlign w:val="center"/>
          </w:tcPr>
          <w:p w14:paraId="39A5C32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260</w:t>
            </w:r>
          </w:p>
        </w:tc>
        <w:tc>
          <w:tcPr>
            <w:tcW w:w="344" w:type="pct"/>
            <w:tcBorders>
              <w:top w:val="nil"/>
              <w:left w:val="nil"/>
              <w:bottom w:val="single" w:sz="4" w:space="0" w:color="auto"/>
              <w:right w:val="single" w:sz="4" w:space="0" w:color="auto"/>
            </w:tcBorders>
            <w:shd w:val="clear" w:color="auto" w:fill="auto"/>
            <w:vAlign w:val="center"/>
          </w:tcPr>
          <w:p w14:paraId="273D402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73D2275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201,25 </w:t>
            </w:r>
          </w:p>
        </w:tc>
        <w:tc>
          <w:tcPr>
            <w:tcW w:w="644" w:type="pct"/>
            <w:tcBorders>
              <w:top w:val="nil"/>
              <w:left w:val="nil"/>
              <w:bottom w:val="single" w:sz="4" w:space="0" w:color="auto"/>
              <w:right w:val="single" w:sz="4" w:space="0" w:color="auto"/>
            </w:tcBorders>
            <w:shd w:val="clear" w:color="auto" w:fill="auto"/>
            <w:noWrap/>
            <w:vAlign w:val="center"/>
          </w:tcPr>
          <w:p w14:paraId="603B863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52.325,00 </w:t>
            </w:r>
          </w:p>
        </w:tc>
      </w:tr>
      <w:tr w:rsidR="00E878FB" w14:paraId="3AF9CAAA" w14:textId="77777777" w:rsidTr="00156804">
        <w:trPr>
          <w:trHeight w:val="1764"/>
        </w:trPr>
        <w:tc>
          <w:tcPr>
            <w:tcW w:w="289" w:type="pct"/>
            <w:tcBorders>
              <w:top w:val="nil"/>
              <w:left w:val="double" w:sz="6" w:space="0" w:color="auto"/>
              <w:bottom w:val="single" w:sz="4" w:space="0" w:color="auto"/>
              <w:right w:val="single" w:sz="4" w:space="0" w:color="auto"/>
            </w:tcBorders>
            <w:shd w:val="clear" w:color="auto" w:fill="auto"/>
            <w:vAlign w:val="center"/>
          </w:tcPr>
          <w:p w14:paraId="1CAAF10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50 </w:t>
            </w:r>
          </w:p>
        </w:tc>
        <w:tc>
          <w:tcPr>
            <w:tcW w:w="2789" w:type="pct"/>
            <w:tcBorders>
              <w:top w:val="nil"/>
              <w:left w:val="nil"/>
              <w:bottom w:val="single" w:sz="4" w:space="0" w:color="auto"/>
              <w:right w:val="single" w:sz="4" w:space="0" w:color="auto"/>
            </w:tcBorders>
            <w:shd w:val="clear" w:color="auto" w:fill="auto"/>
            <w:vAlign w:val="center"/>
          </w:tcPr>
          <w:p w14:paraId="64ED6D1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RAÇÃO COMPLETA BALANCEADA, PARA CODORNAS – CATEGORIA: POSTURA, EM PRODUÇÃO. APRESENTAÇÃO EM SACOS COM PESOS PADRONIZADOS, SENDO ESTES DE NO MÁXIMO 40 KG. COMPOSIÇÃO (NÍVEIS DE GARANTIA EM % DA MS): UMIDADE (MÁX.): 13%; PROTEÍNA BRUTA (MÍN.): 19%; MATÉRIA FIBROSA (MÁX): 4%; CÁLCIO (MÍN.): 2,5%; CÁLCIO (MÁX.): 4,0%; EXTRATO ETÉREO (MÍN.): 2,5%; LISINA (MÍN.): 1%; METIONINA (MÍN.): 0,4%; FÓSFORO (MÍN.): 0,5%; VITAMINA A (MÍN.): 6.000 UI/KG; VITAMINA B1 (MÍN.): 1 MG/KG; VITAMINA B12 (MÍN.): 6 MCG/KG; VITAMINA B2 (MÍN.): 3 MCG/KG; VITAMINA B6 (MÍN.): 1,5 MCG/KG; VITAMINA D (MÍN.): 1.800 UI/KG. </w:t>
            </w:r>
          </w:p>
        </w:tc>
        <w:tc>
          <w:tcPr>
            <w:tcW w:w="389" w:type="pct"/>
            <w:tcBorders>
              <w:top w:val="nil"/>
              <w:left w:val="nil"/>
              <w:bottom w:val="single" w:sz="4" w:space="0" w:color="auto"/>
              <w:right w:val="single" w:sz="4" w:space="0" w:color="auto"/>
            </w:tcBorders>
            <w:shd w:val="clear" w:color="auto" w:fill="auto"/>
            <w:vAlign w:val="center"/>
          </w:tcPr>
          <w:p w14:paraId="037ED32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1600</w:t>
            </w:r>
          </w:p>
        </w:tc>
        <w:tc>
          <w:tcPr>
            <w:tcW w:w="344" w:type="pct"/>
            <w:tcBorders>
              <w:top w:val="nil"/>
              <w:left w:val="nil"/>
              <w:bottom w:val="single" w:sz="4" w:space="0" w:color="auto"/>
              <w:right w:val="single" w:sz="4" w:space="0" w:color="auto"/>
            </w:tcBorders>
            <w:shd w:val="clear" w:color="auto" w:fill="auto"/>
            <w:vAlign w:val="center"/>
          </w:tcPr>
          <w:p w14:paraId="3376C00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6DB0BB7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4,95 </w:t>
            </w:r>
          </w:p>
        </w:tc>
        <w:tc>
          <w:tcPr>
            <w:tcW w:w="644" w:type="pct"/>
            <w:tcBorders>
              <w:top w:val="nil"/>
              <w:left w:val="nil"/>
              <w:bottom w:val="single" w:sz="4" w:space="0" w:color="auto"/>
              <w:right w:val="single" w:sz="4" w:space="0" w:color="auto"/>
            </w:tcBorders>
            <w:shd w:val="clear" w:color="auto" w:fill="auto"/>
            <w:noWrap/>
            <w:vAlign w:val="center"/>
          </w:tcPr>
          <w:p w14:paraId="301544B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7.920,00 </w:t>
            </w:r>
          </w:p>
        </w:tc>
      </w:tr>
      <w:tr w:rsidR="00E878FB" w14:paraId="24BF690A" w14:textId="77777777" w:rsidTr="00156804">
        <w:trPr>
          <w:trHeight w:val="1081"/>
        </w:trPr>
        <w:tc>
          <w:tcPr>
            <w:tcW w:w="289" w:type="pct"/>
            <w:tcBorders>
              <w:top w:val="nil"/>
              <w:left w:val="double" w:sz="6" w:space="0" w:color="auto"/>
              <w:bottom w:val="single" w:sz="4" w:space="0" w:color="auto"/>
              <w:right w:val="single" w:sz="4" w:space="0" w:color="auto"/>
            </w:tcBorders>
            <w:shd w:val="clear" w:color="auto" w:fill="auto"/>
            <w:vAlign w:val="center"/>
          </w:tcPr>
          <w:p w14:paraId="1BE0BFB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51 </w:t>
            </w:r>
          </w:p>
        </w:tc>
        <w:tc>
          <w:tcPr>
            <w:tcW w:w="2789" w:type="pct"/>
            <w:tcBorders>
              <w:top w:val="nil"/>
              <w:left w:val="nil"/>
              <w:bottom w:val="single" w:sz="4" w:space="0" w:color="auto"/>
              <w:right w:val="single" w:sz="4" w:space="0" w:color="auto"/>
            </w:tcBorders>
            <w:shd w:val="clear" w:color="auto" w:fill="auto"/>
            <w:vAlign w:val="center"/>
          </w:tcPr>
          <w:p w14:paraId="18278EC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RAÇÃO COMPLETA BALANCEADA, PARA CAPRINOS - CATEGORIA: CABRA GESTAÇÃO/LACTAÇÃO. APRESENTAÇÃO EM SACOS (SC) COM PESOS PADRONIZADOS DE 40 KG. COMPOSIÇÃO (NÍVEIS DE GARANTIA EM % DA MS): UMIDADE (MÁX.): 13%; PROTEÍNA BRUTA (MÍN.): 22%; EXTRATO ETÉREO (MÍN.): 2,7%; MATÉRIA MINERAL (MÁX.): 10%, CÁLCIO (MÍN.): 1,0%; CÁLCIO (MÁX.): 2,5%, FÓSFORO (MÍN.): 0,45% </w:t>
            </w:r>
          </w:p>
        </w:tc>
        <w:tc>
          <w:tcPr>
            <w:tcW w:w="389" w:type="pct"/>
            <w:tcBorders>
              <w:top w:val="nil"/>
              <w:left w:val="nil"/>
              <w:bottom w:val="single" w:sz="4" w:space="0" w:color="auto"/>
              <w:right w:val="single" w:sz="4" w:space="0" w:color="auto"/>
            </w:tcBorders>
            <w:shd w:val="clear" w:color="auto" w:fill="auto"/>
            <w:vAlign w:val="center"/>
          </w:tcPr>
          <w:p w14:paraId="409DEE3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400</w:t>
            </w:r>
          </w:p>
        </w:tc>
        <w:tc>
          <w:tcPr>
            <w:tcW w:w="344" w:type="pct"/>
            <w:tcBorders>
              <w:top w:val="nil"/>
              <w:left w:val="nil"/>
              <w:bottom w:val="single" w:sz="4" w:space="0" w:color="auto"/>
              <w:right w:val="single" w:sz="4" w:space="0" w:color="auto"/>
            </w:tcBorders>
            <w:shd w:val="clear" w:color="auto" w:fill="auto"/>
            <w:vAlign w:val="center"/>
          </w:tcPr>
          <w:p w14:paraId="05C99AF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224AB26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189,50 </w:t>
            </w:r>
          </w:p>
        </w:tc>
        <w:tc>
          <w:tcPr>
            <w:tcW w:w="644" w:type="pct"/>
            <w:tcBorders>
              <w:top w:val="nil"/>
              <w:left w:val="nil"/>
              <w:bottom w:val="single" w:sz="4" w:space="0" w:color="auto"/>
              <w:right w:val="single" w:sz="4" w:space="0" w:color="auto"/>
            </w:tcBorders>
            <w:shd w:val="clear" w:color="auto" w:fill="auto"/>
            <w:noWrap/>
            <w:vAlign w:val="center"/>
          </w:tcPr>
          <w:p w14:paraId="26ABB80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75.800,00 </w:t>
            </w:r>
          </w:p>
        </w:tc>
      </w:tr>
      <w:tr w:rsidR="00E878FB" w14:paraId="75AF89E6" w14:textId="77777777" w:rsidTr="00156804">
        <w:trPr>
          <w:trHeight w:val="899"/>
        </w:trPr>
        <w:tc>
          <w:tcPr>
            <w:tcW w:w="289" w:type="pct"/>
            <w:tcBorders>
              <w:top w:val="nil"/>
              <w:left w:val="double" w:sz="6" w:space="0" w:color="auto"/>
              <w:bottom w:val="single" w:sz="4" w:space="0" w:color="auto"/>
              <w:right w:val="single" w:sz="4" w:space="0" w:color="auto"/>
            </w:tcBorders>
            <w:shd w:val="clear" w:color="auto" w:fill="auto"/>
            <w:vAlign w:val="center"/>
          </w:tcPr>
          <w:p w14:paraId="5E2D7A9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52 </w:t>
            </w:r>
          </w:p>
        </w:tc>
        <w:tc>
          <w:tcPr>
            <w:tcW w:w="2789" w:type="pct"/>
            <w:tcBorders>
              <w:top w:val="nil"/>
              <w:left w:val="nil"/>
              <w:bottom w:val="single" w:sz="4" w:space="0" w:color="auto"/>
              <w:right w:val="single" w:sz="4" w:space="0" w:color="auto"/>
            </w:tcBorders>
            <w:shd w:val="clear" w:color="auto" w:fill="auto"/>
            <w:vAlign w:val="center"/>
          </w:tcPr>
          <w:p w14:paraId="11C4405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RAÇÃO COMPLETA BALANCEADA, PARA COELHOS. APRESENTAÇÃO EM SACOS COM PESOS PADRONIZADOS, SENDO ESTES DE NO MÁXIMO 40 KG. COMPOSIÇÃO (NÍVEIS DE GARANTIA EM % DA MS): UMIDADE (MÁX.): 13%; PROTEÍNA BRUTA (MÍN.): 13%; EXTRATO ETÉREO (MÍN.): 3,0%; MATÉRIA MINERAL (MÁX.): 15%; FIBRA BRUTA (MÁX.): 20%; CÁLCIO (MIN.): 0,9%; CÁLCIO (MÁX.): 2,0%; FÓSFORO (MÍN.): 0,5% </w:t>
            </w:r>
          </w:p>
        </w:tc>
        <w:tc>
          <w:tcPr>
            <w:tcW w:w="389" w:type="pct"/>
            <w:tcBorders>
              <w:top w:val="nil"/>
              <w:left w:val="nil"/>
              <w:bottom w:val="single" w:sz="4" w:space="0" w:color="auto"/>
              <w:right w:val="single" w:sz="4" w:space="0" w:color="auto"/>
            </w:tcBorders>
            <w:shd w:val="clear" w:color="auto" w:fill="auto"/>
            <w:vAlign w:val="center"/>
          </w:tcPr>
          <w:p w14:paraId="30E5AC9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2000</w:t>
            </w:r>
          </w:p>
        </w:tc>
        <w:tc>
          <w:tcPr>
            <w:tcW w:w="344" w:type="pct"/>
            <w:tcBorders>
              <w:top w:val="nil"/>
              <w:left w:val="nil"/>
              <w:bottom w:val="single" w:sz="4" w:space="0" w:color="auto"/>
              <w:right w:val="single" w:sz="4" w:space="0" w:color="auto"/>
            </w:tcBorders>
            <w:shd w:val="clear" w:color="auto" w:fill="auto"/>
            <w:vAlign w:val="center"/>
          </w:tcPr>
          <w:p w14:paraId="7619F16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5C4F7F4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4,42 </w:t>
            </w:r>
          </w:p>
        </w:tc>
        <w:tc>
          <w:tcPr>
            <w:tcW w:w="644" w:type="pct"/>
            <w:tcBorders>
              <w:top w:val="nil"/>
              <w:left w:val="nil"/>
              <w:bottom w:val="single" w:sz="4" w:space="0" w:color="auto"/>
              <w:right w:val="single" w:sz="4" w:space="0" w:color="auto"/>
            </w:tcBorders>
            <w:shd w:val="clear" w:color="auto" w:fill="auto"/>
            <w:noWrap/>
            <w:vAlign w:val="center"/>
          </w:tcPr>
          <w:p w14:paraId="70D34FF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8.840,00 </w:t>
            </w:r>
          </w:p>
        </w:tc>
      </w:tr>
      <w:tr w:rsidR="00E878FB" w14:paraId="0382D8E1" w14:textId="77777777" w:rsidTr="00156804">
        <w:trPr>
          <w:trHeight w:val="846"/>
        </w:trPr>
        <w:tc>
          <w:tcPr>
            <w:tcW w:w="289" w:type="pct"/>
            <w:tcBorders>
              <w:top w:val="nil"/>
              <w:left w:val="double" w:sz="6" w:space="0" w:color="auto"/>
              <w:bottom w:val="single" w:sz="4" w:space="0" w:color="auto"/>
              <w:right w:val="single" w:sz="4" w:space="0" w:color="auto"/>
            </w:tcBorders>
            <w:shd w:val="clear" w:color="auto" w:fill="auto"/>
            <w:vAlign w:val="center"/>
          </w:tcPr>
          <w:p w14:paraId="6A4A2E5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53 </w:t>
            </w:r>
          </w:p>
        </w:tc>
        <w:tc>
          <w:tcPr>
            <w:tcW w:w="2789" w:type="pct"/>
            <w:tcBorders>
              <w:top w:val="nil"/>
              <w:left w:val="nil"/>
              <w:bottom w:val="single" w:sz="4" w:space="0" w:color="auto"/>
              <w:right w:val="single" w:sz="4" w:space="0" w:color="auto"/>
            </w:tcBorders>
            <w:shd w:val="clear" w:color="auto" w:fill="auto"/>
            <w:vAlign w:val="center"/>
          </w:tcPr>
          <w:p w14:paraId="3AE1C90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RAÇÃO COMPLETA BALANCEADA, PARA EQUINOS. APRESENTAÇÃO EM SACOS COM PESOS PADRONIZADOS, SENDO ESTES DE NO MÁXIMO 40 KG. COMPOSIÇÃO (NÍVEIS DE GARANTIA EM % DA MS): UMIDADE (MÁX.): 15%; PROTEÍNA BRUTA (MÍN.): 13%; EXTRATO ETÉREO (MÍN.): 4,0%; MATÉRIA MINERAL (MÁX.): 15%, CÁLCIO (MÁX.): 2,0%, FÓSFORO (MÍN.): 0,5%. </w:t>
            </w:r>
          </w:p>
        </w:tc>
        <w:tc>
          <w:tcPr>
            <w:tcW w:w="389" w:type="pct"/>
            <w:tcBorders>
              <w:top w:val="nil"/>
              <w:left w:val="nil"/>
              <w:bottom w:val="single" w:sz="4" w:space="0" w:color="auto"/>
              <w:right w:val="single" w:sz="4" w:space="0" w:color="auto"/>
            </w:tcBorders>
            <w:shd w:val="clear" w:color="auto" w:fill="auto"/>
            <w:vAlign w:val="center"/>
          </w:tcPr>
          <w:p w14:paraId="02EAF01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22500</w:t>
            </w:r>
          </w:p>
        </w:tc>
        <w:tc>
          <w:tcPr>
            <w:tcW w:w="344" w:type="pct"/>
            <w:tcBorders>
              <w:top w:val="nil"/>
              <w:left w:val="nil"/>
              <w:bottom w:val="single" w:sz="4" w:space="0" w:color="auto"/>
              <w:right w:val="single" w:sz="4" w:space="0" w:color="auto"/>
            </w:tcBorders>
            <w:shd w:val="clear" w:color="auto" w:fill="auto"/>
            <w:vAlign w:val="center"/>
          </w:tcPr>
          <w:p w14:paraId="0A083E5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794CC06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4,60 </w:t>
            </w:r>
          </w:p>
        </w:tc>
        <w:tc>
          <w:tcPr>
            <w:tcW w:w="644" w:type="pct"/>
            <w:tcBorders>
              <w:top w:val="nil"/>
              <w:left w:val="nil"/>
              <w:bottom w:val="single" w:sz="4" w:space="0" w:color="auto"/>
              <w:right w:val="single" w:sz="4" w:space="0" w:color="auto"/>
            </w:tcBorders>
            <w:shd w:val="clear" w:color="auto" w:fill="auto"/>
            <w:noWrap/>
            <w:vAlign w:val="center"/>
          </w:tcPr>
          <w:p w14:paraId="107F6CE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103.500,00 </w:t>
            </w:r>
          </w:p>
        </w:tc>
      </w:tr>
      <w:tr w:rsidR="00E878FB" w14:paraId="249D053E" w14:textId="77777777" w:rsidTr="00156804">
        <w:trPr>
          <w:trHeight w:val="509"/>
        </w:trPr>
        <w:tc>
          <w:tcPr>
            <w:tcW w:w="289" w:type="pct"/>
            <w:tcBorders>
              <w:top w:val="nil"/>
              <w:left w:val="double" w:sz="6" w:space="0" w:color="auto"/>
              <w:bottom w:val="single" w:sz="4" w:space="0" w:color="auto"/>
              <w:right w:val="single" w:sz="4" w:space="0" w:color="auto"/>
            </w:tcBorders>
            <w:shd w:val="clear" w:color="auto" w:fill="auto"/>
            <w:vAlign w:val="center"/>
          </w:tcPr>
          <w:p w14:paraId="4DC6F13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54 </w:t>
            </w:r>
          </w:p>
        </w:tc>
        <w:tc>
          <w:tcPr>
            <w:tcW w:w="2789" w:type="pct"/>
            <w:tcBorders>
              <w:top w:val="nil"/>
              <w:left w:val="nil"/>
              <w:bottom w:val="single" w:sz="4" w:space="0" w:color="auto"/>
              <w:right w:val="single" w:sz="4" w:space="0" w:color="auto"/>
            </w:tcBorders>
            <w:shd w:val="clear" w:color="auto" w:fill="auto"/>
            <w:vAlign w:val="center"/>
          </w:tcPr>
          <w:p w14:paraId="64210E7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RAÇÃO COMPLETA BALANCEADA, PARA EQUINOS. APRESENTAÇÃO EM SACOS COM PESOS PADRONIZADOS, SENDO ESTES DE NO MÁXIMO 40 KG. COMPOSIÇÃO (NÍVEIS DE GARANTIA EM % DA MS): UMIDADE (MÁX.): 15%; PROTEÍNA BRUTA (MÍN.): 13%; EXTRATO ETÉREO (MÍN.): 4,0%; MATÉRIA MINERAL (MÁX.): 15%, CÁLCIO (MÁX.): 2,0%, FÓSFORO (MÍN.): 0,5%. ME/EPP</w:t>
            </w:r>
          </w:p>
        </w:tc>
        <w:tc>
          <w:tcPr>
            <w:tcW w:w="389" w:type="pct"/>
            <w:tcBorders>
              <w:top w:val="nil"/>
              <w:left w:val="nil"/>
              <w:bottom w:val="single" w:sz="4" w:space="0" w:color="auto"/>
              <w:right w:val="single" w:sz="4" w:space="0" w:color="auto"/>
            </w:tcBorders>
            <w:shd w:val="clear" w:color="auto" w:fill="auto"/>
            <w:vAlign w:val="center"/>
          </w:tcPr>
          <w:p w14:paraId="6334E79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7500</w:t>
            </w:r>
          </w:p>
        </w:tc>
        <w:tc>
          <w:tcPr>
            <w:tcW w:w="344" w:type="pct"/>
            <w:tcBorders>
              <w:top w:val="nil"/>
              <w:left w:val="nil"/>
              <w:bottom w:val="single" w:sz="4" w:space="0" w:color="auto"/>
              <w:right w:val="single" w:sz="4" w:space="0" w:color="auto"/>
            </w:tcBorders>
            <w:shd w:val="clear" w:color="auto" w:fill="auto"/>
            <w:vAlign w:val="center"/>
          </w:tcPr>
          <w:p w14:paraId="7FA6399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26FC419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4,60 </w:t>
            </w:r>
          </w:p>
        </w:tc>
        <w:tc>
          <w:tcPr>
            <w:tcW w:w="644" w:type="pct"/>
            <w:tcBorders>
              <w:top w:val="nil"/>
              <w:left w:val="nil"/>
              <w:bottom w:val="single" w:sz="4" w:space="0" w:color="auto"/>
              <w:right w:val="single" w:sz="4" w:space="0" w:color="auto"/>
            </w:tcBorders>
            <w:shd w:val="clear" w:color="auto" w:fill="auto"/>
            <w:noWrap/>
            <w:vAlign w:val="center"/>
          </w:tcPr>
          <w:p w14:paraId="366D929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34.500,00 </w:t>
            </w:r>
          </w:p>
        </w:tc>
      </w:tr>
      <w:tr w:rsidR="00E878FB" w14:paraId="12A9DFAF" w14:textId="77777777" w:rsidTr="00156804">
        <w:trPr>
          <w:trHeight w:val="4740"/>
        </w:trPr>
        <w:tc>
          <w:tcPr>
            <w:tcW w:w="289" w:type="pct"/>
            <w:tcBorders>
              <w:top w:val="nil"/>
              <w:left w:val="double" w:sz="6" w:space="0" w:color="auto"/>
              <w:bottom w:val="single" w:sz="4" w:space="0" w:color="auto"/>
              <w:right w:val="single" w:sz="4" w:space="0" w:color="auto"/>
            </w:tcBorders>
            <w:shd w:val="clear" w:color="auto" w:fill="auto"/>
            <w:vAlign w:val="center"/>
          </w:tcPr>
          <w:p w14:paraId="36DEEE5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55 </w:t>
            </w:r>
          </w:p>
        </w:tc>
        <w:tc>
          <w:tcPr>
            <w:tcW w:w="2789" w:type="pct"/>
            <w:tcBorders>
              <w:top w:val="nil"/>
              <w:left w:val="nil"/>
              <w:bottom w:val="single" w:sz="4" w:space="0" w:color="auto"/>
              <w:right w:val="single" w:sz="4" w:space="0" w:color="auto"/>
            </w:tcBorders>
            <w:shd w:val="clear" w:color="auto" w:fill="auto"/>
            <w:vAlign w:val="center"/>
          </w:tcPr>
          <w:p w14:paraId="21698E9E" w14:textId="77777777" w:rsidR="00E878FB" w:rsidRDefault="00C43B83">
            <w:pPr>
              <w:jc w:val="center"/>
              <w:rPr>
                <w:rFonts w:ascii="Calibri" w:eastAsia="Times New Roman" w:hAnsi="Calibri" w:cs="Calibri"/>
                <w:sz w:val="16"/>
                <w:szCs w:val="16"/>
              </w:rPr>
            </w:pPr>
            <w:r>
              <w:rPr>
                <w:rFonts w:ascii="Calibri" w:eastAsia="Times New Roman" w:hAnsi="Calibri" w:cs="Calibri"/>
                <w:sz w:val="16"/>
                <w:szCs w:val="16"/>
              </w:rPr>
              <w:t>RAÇÃO PARA ANIMAL DE LABORATORIO - PELETIZADA IRRADIADA PARA RATOS E CAMUNDONGOS - SACO COM 20KG - MARCA NUVILAB. PELETES MEDINDO APROXIMADAMENTE 15 MM DE DIÁMETRO E 30 MM DE COMPRIMENTO - COMPONENTES BASICOS: MILHO INTEGRAL MOÍDO - FARELO DE SOJA - FARELO DE TRIGO - CARBONATO DE CÁLCIO - FOSFATO BICÁLCICO - CLORETO DE SÓDIO (SAL COMUM) - ÓLEO VEGETAL - NÍVEIS DE GARANTIA: UMIDADE 125G/KG (MÁX) - PROTEÍNA BRUTA 220 G/KG (MÍN) - EXTRATO ETÉREO 50 G/KG (MIN) - MATERIAL MINERAL 90G/KG(MAX) - FIBRA BRUTA 70G/KG(MAX) - CÁLCIO DE 10 A 14 G/KG - FÓSFORO 6000 MG/KG(MAX) - ENRIQUECIMENTO POR QUILO: NO MÍNIMO VITAMINA A 13000 UI - VITAMINA D 32000 UI - VITAMINA E 34 UI - VITAMINA K3 3 MG - VITAMINA B1 5MG - VITAMINA B2 6MG - VITAMINA B6 7MG - VITAMINA B12 22 MCG - NIACINA 60 MG - ÁCIDO PANTOTÉNICO 21 MG - ÁCIDO FÓLICO 1 MG - BIOTINA 0,05 MG - COLINA 1900 MG - SÓDIO 2700 MG - FERRO 50 MG - MANGANÊS 60 MG - ZINCO 60 MG - COBRE 10 MG - IODO 2 MG - SELÊNIO 0,05 MG - COBALTO 1,5MG - FLÚOR NO MÁXIMO 60 MG - ADITIVOS: BHT 100 MG/KG - AMINOÁCIDOS: NO MÍNIMO LISINA 12 G/KG - METIONINA 4000MG/KG. DA ENTREGA: VALIDADE 6 MESES DA DATA DE FABRICAÇÃO - PELETES COM ALTO GRAU DE COMPACTAÇÃO - ACONDICIONADO EM SACO PLÁSTICO DE 20 KG - RESISTENTE A IMPACTOS - RÓTULO COM NOME E CNPJ DO FABRICANTE - RESPONS.TÉCNICA - DATA FABRICAÇÃO - VALIDADE COMPOSIÇÃO/NÍVEIS DE GARANTIA </w:t>
            </w:r>
          </w:p>
        </w:tc>
        <w:tc>
          <w:tcPr>
            <w:tcW w:w="389" w:type="pct"/>
            <w:tcBorders>
              <w:top w:val="nil"/>
              <w:left w:val="nil"/>
              <w:bottom w:val="single" w:sz="4" w:space="0" w:color="auto"/>
              <w:right w:val="single" w:sz="4" w:space="0" w:color="auto"/>
            </w:tcBorders>
            <w:shd w:val="clear" w:color="auto" w:fill="auto"/>
            <w:vAlign w:val="center"/>
          </w:tcPr>
          <w:p w14:paraId="6990FA2B" w14:textId="77777777" w:rsidR="00E878FB" w:rsidRDefault="00C43B83">
            <w:pPr>
              <w:jc w:val="center"/>
              <w:rPr>
                <w:rFonts w:ascii="Calibri" w:eastAsia="Times New Roman" w:hAnsi="Calibri" w:cs="Calibri"/>
                <w:sz w:val="16"/>
                <w:szCs w:val="16"/>
              </w:rPr>
            </w:pPr>
            <w:r>
              <w:rPr>
                <w:rFonts w:ascii="Calibri" w:eastAsia="Times New Roman" w:hAnsi="Calibri" w:cs="Calibri"/>
                <w:sz w:val="16"/>
                <w:szCs w:val="16"/>
              </w:rPr>
              <w:t>293</w:t>
            </w:r>
          </w:p>
        </w:tc>
        <w:tc>
          <w:tcPr>
            <w:tcW w:w="344" w:type="pct"/>
            <w:tcBorders>
              <w:top w:val="nil"/>
              <w:left w:val="nil"/>
              <w:bottom w:val="single" w:sz="4" w:space="0" w:color="auto"/>
              <w:right w:val="single" w:sz="4" w:space="0" w:color="auto"/>
            </w:tcBorders>
            <w:shd w:val="clear" w:color="auto" w:fill="auto"/>
            <w:vAlign w:val="center"/>
          </w:tcPr>
          <w:p w14:paraId="79DA3B5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4423F5F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380,00 </w:t>
            </w:r>
          </w:p>
        </w:tc>
        <w:tc>
          <w:tcPr>
            <w:tcW w:w="644" w:type="pct"/>
            <w:tcBorders>
              <w:top w:val="nil"/>
              <w:left w:val="nil"/>
              <w:bottom w:val="single" w:sz="4" w:space="0" w:color="auto"/>
              <w:right w:val="single" w:sz="4" w:space="0" w:color="auto"/>
            </w:tcBorders>
            <w:shd w:val="clear" w:color="auto" w:fill="auto"/>
            <w:noWrap/>
            <w:vAlign w:val="center"/>
          </w:tcPr>
          <w:p w14:paraId="329ED6F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111.340,00 </w:t>
            </w:r>
          </w:p>
        </w:tc>
      </w:tr>
      <w:tr w:rsidR="00E878FB" w14:paraId="6A85017B" w14:textId="77777777" w:rsidTr="00156804">
        <w:trPr>
          <w:trHeight w:val="4173"/>
        </w:trPr>
        <w:tc>
          <w:tcPr>
            <w:tcW w:w="289" w:type="pct"/>
            <w:tcBorders>
              <w:top w:val="nil"/>
              <w:left w:val="double" w:sz="6" w:space="0" w:color="auto"/>
              <w:bottom w:val="single" w:sz="4" w:space="0" w:color="auto"/>
              <w:right w:val="single" w:sz="4" w:space="0" w:color="auto"/>
            </w:tcBorders>
            <w:shd w:val="clear" w:color="auto" w:fill="auto"/>
            <w:vAlign w:val="center"/>
          </w:tcPr>
          <w:p w14:paraId="19F6EC2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56 </w:t>
            </w:r>
          </w:p>
        </w:tc>
        <w:tc>
          <w:tcPr>
            <w:tcW w:w="2789" w:type="pct"/>
            <w:tcBorders>
              <w:top w:val="nil"/>
              <w:left w:val="single" w:sz="4" w:space="0" w:color="auto"/>
              <w:bottom w:val="single" w:sz="4" w:space="0" w:color="auto"/>
              <w:right w:val="single" w:sz="4" w:space="0" w:color="auto"/>
            </w:tcBorders>
            <w:shd w:val="clear" w:color="auto" w:fill="auto"/>
            <w:vAlign w:val="center"/>
          </w:tcPr>
          <w:p w14:paraId="30CE7B1F" w14:textId="77777777" w:rsidR="00E878FB" w:rsidRDefault="00C43B83">
            <w:pPr>
              <w:jc w:val="center"/>
              <w:rPr>
                <w:rFonts w:ascii="Calibri" w:eastAsia="Times New Roman" w:hAnsi="Calibri" w:cs="Calibri"/>
                <w:sz w:val="16"/>
                <w:szCs w:val="16"/>
              </w:rPr>
            </w:pPr>
            <w:r>
              <w:rPr>
                <w:rFonts w:ascii="Calibri" w:eastAsia="Times New Roman" w:hAnsi="Calibri" w:cs="Calibri"/>
                <w:sz w:val="16"/>
                <w:szCs w:val="16"/>
              </w:rPr>
              <w:t>RAÇÃO PARA ANIMAL DE LABORATORIO - PELETIZADA IRRADIADA PARA RATOS E CAMUNDONGOS - SACO COM 20KG - MARCA NUVILAB. PELETES MEDINDO APROXIMADAMENTE 15 MM DE DIÁMETRO E 30 MM DE COMPRIMENTO - COMPONENTES BASICOS: MILHO INTEGRAL MOÍDO - FARELO DE SOJA - FARELO DE TRIGO - CARBONATO DE CÁLCIO - FOSFATO BICÁLCICO - CLORETO DE SÓDIO (SAL COMUM) - ÓLEO VEGETAL - NÍVEIS DE GARANTIA: UMIDADE 125G/KG (MÁX) - PROTEÍNA BRUTA 220 G/KG (MÍN) - EXTRATO ETÉREO 50 G/KG (MIN) - MATERIAL MINERAL 90G/KG(MAX) - FIBRA BRUTA 70G/KG(MAX) - CÁLCIO DE 10 A 14 G/KG - FÓSFORO 6000 MG/KG(MAX) - ENRIQUECIMENTO POR QUILO: NO MÍNIMO VITAMINA A 13000 UI - VITAMINA D 32000 UI - VITAMINA E 34 UI - VITAMINA K3 3 MG - VITAMINA B1 5MG - VITAMINA B2 6MG - VITAMINA B6 7MG - VITAMINA B12 22 MCG - NIACINA 60 MG - ÁCIDO PANTOTÉNICO 21 MG - ÁCIDO FÓLICO 1 MG - BIOTINA 0,05 MG - COLINA 1900 MG - SÓDIO 2700 MG - FERRO 50 MG - MANGANÊS 60 MG - ZINCO 60 MG - COBRE 10 MG - IODO 2 MG - SELÊNIO 0,05 MG - COBALTO 1,5MG - FLÚOR NO MÁXIMO 60 MG - ADITIVOS: BHT 100 MG/KG - AMINOÁCIDOS: NO MÍNIMO LISINA 12 G/KG - METIONINA 4000MG/KG. DA ENTREGA: VALIDADE 6 MESES DA DATA DE FABRICAÇÃO - PELETES COM ALTO GRAU DE COMPACTAÇÃO - ACONDICIONADO EM SACO PLÁSTICO DE 20 KG - RESISTENTE A IMPACTOS - RÓTULO COM NOME E CNPJ DO FABRICANTE - RESPONS.TÉCNICA - DATA FABRICAÇÃO - VALIDADE COMPOSIÇÃO/NÍVEIS DE GARANTIA ME/EPP</w:t>
            </w:r>
          </w:p>
        </w:tc>
        <w:tc>
          <w:tcPr>
            <w:tcW w:w="389" w:type="pct"/>
            <w:tcBorders>
              <w:top w:val="nil"/>
              <w:left w:val="nil"/>
              <w:bottom w:val="single" w:sz="4" w:space="0" w:color="auto"/>
              <w:right w:val="single" w:sz="4" w:space="0" w:color="auto"/>
            </w:tcBorders>
            <w:shd w:val="clear" w:color="auto" w:fill="auto"/>
            <w:vAlign w:val="center"/>
          </w:tcPr>
          <w:p w14:paraId="7C561DC3" w14:textId="77777777" w:rsidR="00E878FB" w:rsidRDefault="00C43B83">
            <w:pPr>
              <w:jc w:val="center"/>
              <w:rPr>
                <w:rFonts w:ascii="Calibri" w:eastAsia="Times New Roman" w:hAnsi="Calibri" w:cs="Calibri"/>
                <w:sz w:val="16"/>
                <w:szCs w:val="16"/>
              </w:rPr>
            </w:pPr>
            <w:r>
              <w:rPr>
                <w:rFonts w:ascii="Calibri" w:eastAsia="Times New Roman" w:hAnsi="Calibri" w:cs="Calibri"/>
                <w:sz w:val="16"/>
                <w:szCs w:val="16"/>
              </w:rPr>
              <w:t>97</w:t>
            </w:r>
          </w:p>
        </w:tc>
        <w:tc>
          <w:tcPr>
            <w:tcW w:w="344" w:type="pct"/>
            <w:tcBorders>
              <w:top w:val="nil"/>
              <w:left w:val="nil"/>
              <w:bottom w:val="single" w:sz="4" w:space="0" w:color="auto"/>
              <w:right w:val="single" w:sz="4" w:space="0" w:color="auto"/>
            </w:tcBorders>
            <w:shd w:val="clear" w:color="auto" w:fill="auto"/>
            <w:vAlign w:val="center"/>
          </w:tcPr>
          <w:p w14:paraId="0EC0C95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Saco</w:t>
            </w:r>
          </w:p>
        </w:tc>
        <w:tc>
          <w:tcPr>
            <w:tcW w:w="544" w:type="pct"/>
            <w:tcBorders>
              <w:top w:val="nil"/>
              <w:left w:val="nil"/>
              <w:bottom w:val="single" w:sz="4" w:space="0" w:color="auto"/>
              <w:right w:val="single" w:sz="4" w:space="0" w:color="auto"/>
            </w:tcBorders>
            <w:shd w:val="clear" w:color="auto" w:fill="auto"/>
            <w:noWrap/>
            <w:vAlign w:val="center"/>
          </w:tcPr>
          <w:p w14:paraId="14F7C52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380,00 </w:t>
            </w:r>
          </w:p>
        </w:tc>
        <w:tc>
          <w:tcPr>
            <w:tcW w:w="644" w:type="pct"/>
            <w:tcBorders>
              <w:top w:val="nil"/>
              <w:left w:val="nil"/>
              <w:bottom w:val="single" w:sz="4" w:space="0" w:color="auto"/>
              <w:right w:val="single" w:sz="4" w:space="0" w:color="auto"/>
            </w:tcBorders>
            <w:shd w:val="clear" w:color="auto" w:fill="auto"/>
            <w:noWrap/>
            <w:vAlign w:val="center"/>
          </w:tcPr>
          <w:p w14:paraId="005225E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36.860,00 </w:t>
            </w:r>
          </w:p>
        </w:tc>
      </w:tr>
      <w:tr w:rsidR="00E878FB" w14:paraId="0ADB83BF" w14:textId="77777777" w:rsidTr="00156804">
        <w:trPr>
          <w:trHeight w:val="361"/>
        </w:trPr>
        <w:tc>
          <w:tcPr>
            <w:tcW w:w="289" w:type="pct"/>
            <w:tcBorders>
              <w:top w:val="nil"/>
              <w:left w:val="double" w:sz="6" w:space="0" w:color="auto"/>
              <w:bottom w:val="single" w:sz="4" w:space="0" w:color="auto"/>
              <w:right w:val="single" w:sz="4" w:space="0" w:color="auto"/>
            </w:tcBorders>
            <w:shd w:val="clear" w:color="auto" w:fill="auto"/>
            <w:vAlign w:val="center"/>
          </w:tcPr>
          <w:p w14:paraId="0B96C17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57 </w:t>
            </w:r>
          </w:p>
        </w:tc>
        <w:tc>
          <w:tcPr>
            <w:tcW w:w="2789" w:type="pct"/>
            <w:tcBorders>
              <w:top w:val="nil"/>
              <w:left w:val="nil"/>
              <w:bottom w:val="single" w:sz="4" w:space="0" w:color="auto"/>
              <w:right w:val="single" w:sz="4" w:space="0" w:color="auto"/>
            </w:tcBorders>
            <w:shd w:val="clear" w:color="auto" w:fill="auto"/>
            <w:vAlign w:val="center"/>
          </w:tcPr>
          <w:p w14:paraId="3189158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REFRESX – ÁGUA EM GEL AGAR PARA HIDRATAÇÃO DE ROEDORES DE PH BALANCEADO, NATURAL, ESTERILIZADO, PACOTE COM 5 UNIDADES DE 100 ML CADA, PRONTO PARA USO </w:t>
            </w:r>
          </w:p>
        </w:tc>
        <w:tc>
          <w:tcPr>
            <w:tcW w:w="389" w:type="pct"/>
            <w:tcBorders>
              <w:top w:val="nil"/>
              <w:left w:val="nil"/>
              <w:bottom w:val="single" w:sz="4" w:space="0" w:color="auto"/>
              <w:right w:val="single" w:sz="4" w:space="0" w:color="auto"/>
            </w:tcBorders>
            <w:shd w:val="clear" w:color="auto" w:fill="auto"/>
            <w:vAlign w:val="center"/>
          </w:tcPr>
          <w:p w14:paraId="730AA17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50</w:t>
            </w:r>
          </w:p>
        </w:tc>
        <w:tc>
          <w:tcPr>
            <w:tcW w:w="344" w:type="pct"/>
            <w:tcBorders>
              <w:top w:val="nil"/>
              <w:left w:val="nil"/>
              <w:bottom w:val="single" w:sz="4" w:space="0" w:color="auto"/>
              <w:right w:val="single" w:sz="4" w:space="0" w:color="auto"/>
            </w:tcBorders>
            <w:shd w:val="clear" w:color="auto" w:fill="auto"/>
            <w:vAlign w:val="center"/>
          </w:tcPr>
          <w:p w14:paraId="79E16DD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PCT</w:t>
            </w:r>
          </w:p>
        </w:tc>
        <w:tc>
          <w:tcPr>
            <w:tcW w:w="544" w:type="pct"/>
            <w:tcBorders>
              <w:top w:val="nil"/>
              <w:left w:val="nil"/>
              <w:bottom w:val="single" w:sz="4" w:space="0" w:color="auto"/>
              <w:right w:val="single" w:sz="4" w:space="0" w:color="auto"/>
            </w:tcBorders>
            <w:shd w:val="clear" w:color="auto" w:fill="auto"/>
            <w:noWrap/>
            <w:vAlign w:val="center"/>
          </w:tcPr>
          <w:p w14:paraId="58404EB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236,14 </w:t>
            </w:r>
          </w:p>
        </w:tc>
        <w:tc>
          <w:tcPr>
            <w:tcW w:w="644" w:type="pct"/>
            <w:tcBorders>
              <w:top w:val="nil"/>
              <w:left w:val="nil"/>
              <w:bottom w:val="single" w:sz="4" w:space="0" w:color="auto"/>
              <w:right w:val="single" w:sz="4" w:space="0" w:color="auto"/>
            </w:tcBorders>
            <w:shd w:val="clear" w:color="auto" w:fill="auto"/>
            <w:noWrap/>
            <w:vAlign w:val="center"/>
          </w:tcPr>
          <w:p w14:paraId="36197CF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11.807,00 </w:t>
            </w:r>
          </w:p>
        </w:tc>
      </w:tr>
      <w:tr w:rsidR="00E878FB" w14:paraId="5123BA16" w14:textId="77777777" w:rsidTr="00156804">
        <w:trPr>
          <w:trHeight w:val="327"/>
        </w:trPr>
        <w:tc>
          <w:tcPr>
            <w:tcW w:w="289" w:type="pct"/>
            <w:tcBorders>
              <w:top w:val="nil"/>
              <w:left w:val="double" w:sz="6" w:space="0" w:color="auto"/>
              <w:bottom w:val="single" w:sz="4" w:space="0" w:color="auto"/>
              <w:right w:val="single" w:sz="4" w:space="0" w:color="auto"/>
            </w:tcBorders>
            <w:shd w:val="clear" w:color="auto" w:fill="auto"/>
            <w:vAlign w:val="center"/>
          </w:tcPr>
          <w:p w14:paraId="2259E77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58 </w:t>
            </w:r>
          </w:p>
        </w:tc>
        <w:tc>
          <w:tcPr>
            <w:tcW w:w="2789" w:type="pct"/>
            <w:tcBorders>
              <w:top w:val="nil"/>
              <w:left w:val="nil"/>
              <w:bottom w:val="single" w:sz="4" w:space="0" w:color="auto"/>
              <w:right w:val="single" w:sz="4" w:space="0" w:color="auto"/>
            </w:tcBorders>
            <w:shd w:val="clear" w:color="auto" w:fill="auto"/>
            <w:vAlign w:val="center"/>
          </w:tcPr>
          <w:p w14:paraId="6E11991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RELAX NINHO, PRODUZIDO A BASE DE KRAFT – MATERIAL ATÓXICO DESCARTÁVEL, DE FÁCIL MONTAGEM. APRESENTAÇÃO: CAIXA COM 5 PACOTES CONTENDO 5 FOLHAS CADA DE 15 CM EM MÉDIA </w:t>
            </w:r>
          </w:p>
        </w:tc>
        <w:tc>
          <w:tcPr>
            <w:tcW w:w="389" w:type="pct"/>
            <w:tcBorders>
              <w:top w:val="nil"/>
              <w:left w:val="nil"/>
              <w:bottom w:val="single" w:sz="4" w:space="0" w:color="auto"/>
              <w:right w:val="single" w:sz="4" w:space="0" w:color="auto"/>
            </w:tcBorders>
            <w:shd w:val="clear" w:color="auto" w:fill="auto"/>
            <w:vAlign w:val="center"/>
          </w:tcPr>
          <w:p w14:paraId="342B17E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44" w:type="pct"/>
            <w:tcBorders>
              <w:top w:val="nil"/>
              <w:left w:val="nil"/>
              <w:bottom w:val="single" w:sz="4" w:space="0" w:color="auto"/>
              <w:right w:val="single" w:sz="4" w:space="0" w:color="auto"/>
            </w:tcBorders>
            <w:shd w:val="clear" w:color="auto" w:fill="auto"/>
            <w:vAlign w:val="center"/>
          </w:tcPr>
          <w:p w14:paraId="74406E8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CX</w:t>
            </w:r>
          </w:p>
        </w:tc>
        <w:tc>
          <w:tcPr>
            <w:tcW w:w="544" w:type="pct"/>
            <w:tcBorders>
              <w:top w:val="nil"/>
              <w:left w:val="nil"/>
              <w:bottom w:val="single" w:sz="4" w:space="0" w:color="auto"/>
              <w:right w:val="single" w:sz="4" w:space="0" w:color="auto"/>
            </w:tcBorders>
            <w:shd w:val="clear" w:color="auto" w:fill="auto"/>
            <w:noWrap/>
            <w:vAlign w:val="center"/>
          </w:tcPr>
          <w:p w14:paraId="66DC1B2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218,53 </w:t>
            </w:r>
          </w:p>
        </w:tc>
        <w:tc>
          <w:tcPr>
            <w:tcW w:w="644" w:type="pct"/>
            <w:tcBorders>
              <w:top w:val="nil"/>
              <w:left w:val="nil"/>
              <w:bottom w:val="single" w:sz="4" w:space="0" w:color="auto"/>
              <w:right w:val="single" w:sz="4" w:space="0" w:color="auto"/>
            </w:tcBorders>
            <w:shd w:val="clear" w:color="auto" w:fill="auto"/>
            <w:noWrap/>
            <w:vAlign w:val="center"/>
          </w:tcPr>
          <w:p w14:paraId="250BCF7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4.370,60 </w:t>
            </w:r>
          </w:p>
        </w:tc>
      </w:tr>
      <w:tr w:rsidR="00E878FB" w14:paraId="5EA583F8" w14:textId="77777777" w:rsidTr="00156804">
        <w:trPr>
          <w:trHeight w:val="1461"/>
        </w:trPr>
        <w:tc>
          <w:tcPr>
            <w:tcW w:w="289" w:type="pct"/>
            <w:tcBorders>
              <w:top w:val="nil"/>
              <w:left w:val="double" w:sz="6" w:space="0" w:color="auto"/>
              <w:bottom w:val="single" w:sz="4" w:space="0" w:color="auto"/>
              <w:right w:val="single" w:sz="4" w:space="0" w:color="auto"/>
            </w:tcBorders>
            <w:shd w:val="clear" w:color="auto" w:fill="auto"/>
            <w:vAlign w:val="center"/>
          </w:tcPr>
          <w:p w14:paraId="62A6C95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59 </w:t>
            </w:r>
          </w:p>
        </w:tc>
        <w:tc>
          <w:tcPr>
            <w:tcW w:w="2789" w:type="pct"/>
            <w:tcBorders>
              <w:top w:val="nil"/>
              <w:left w:val="nil"/>
              <w:bottom w:val="single" w:sz="4" w:space="0" w:color="auto"/>
              <w:right w:val="single" w:sz="4" w:space="0" w:color="auto"/>
            </w:tcBorders>
            <w:shd w:val="clear" w:color="auto" w:fill="auto"/>
            <w:vAlign w:val="center"/>
          </w:tcPr>
          <w:p w14:paraId="3387D9C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Silagem de milho ensacada, mínimo de 35% de matéria seca de grão em relação a matéria seca total da silagem, máximo de 10% de partículas com tamanho superior a 19 mm e máximo de 30% de partículas com tamanho inferior a 8 mm, verificado em peneira do tipo Penn State Particle Separator, conforme metodologia do equipamento. Composição (níveis de garantia em % da MS): Umidade (mín.): 30%; Umidade (máx.): 39%; Amido (mín.): 27%; Proteína Bruta (mín.): 7%; Fibra em Detergente Neutro (máx): 55%. Apresentação em sacos plásticos hermeticamente vedados, compactados e com pesos padronizados, sendo estes de no máximo 40 kg </w:t>
            </w:r>
          </w:p>
        </w:tc>
        <w:tc>
          <w:tcPr>
            <w:tcW w:w="389" w:type="pct"/>
            <w:tcBorders>
              <w:top w:val="nil"/>
              <w:left w:val="nil"/>
              <w:bottom w:val="single" w:sz="4" w:space="0" w:color="auto"/>
              <w:right w:val="single" w:sz="4" w:space="0" w:color="auto"/>
            </w:tcBorders>
            <w:shd w:val="clear" w:color="auto" w:fill="auto"/>
            <w:vAlign w:val="center"/>
          </w:tcPr>
          <w:p w14:paraId="7DBAEE8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160001</w:t>
            </w:r>
          </w:p>
        </w:tc>
        <w:tc>
          <w:tcPr>
            <w:tcW w:w="344" w:type="pct"/>
            <w:tcBorders>
              <w:top w:val="nil"/>
              <w:left w:val="nil"/>
              <w:bottom w:val="single" w:sz="4" w:space="0" w:color="auto"/>
              <w:right w:val="single" w:sz="4" w:space="0" w:color="auto"/>
            </w:tcBorders>
            <w:shd w:val="clear" w:color="auto" w:fill="auto"/>
            <w:vAlign w:val="center"/>
          </w:tcPr>
          <w:p w14:paraId="075D8A3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2A8BF31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2,00 </w:t>
            </w:r>
          </w:p>
        </w:tc>
        <w:tc>
          <w:tcPr>
            <w:tcW w:w="644" w:type="pct"/>
            <w:tcBorders>
              <w:top w:val="nil"/>
              <w:left w:val="nil"/>
              <w:bottom w:val="single" w:sz="4" w:space="0" w:color="auto"/>
              <w:right w:val="single" w:sz="4" w:space="0" w:color="auto"/>
            </w:tcBorders>
            <w:shd w:val="clear" w:color="auto" w:fill="auto"/>
            <w:noWrap/>
            <w:vAlign w:val="center"/>
          </w:tcPr>
          <w:p w14:paraId="55F9790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320.002,00 </w:t>
            </w:r>
          </w:p>
        </w:tc>
      </w:tr>
      <w:tr w:rsidR="00E878FB" w14:paraId="17EF3F6E" w14:textId="77777777" w:rsidTr="00156804">
        <w:trPr>
          <w:trHeight w:val="1684"/>
        </w:trPr>
        <w:tc>
          <w:tcPr>
            <w:tcW w:w="289" w:type="pct"/>
            <w:tcBorders>
              <w:top w:val="nil"/>
              <w:left w:val="double" w:sz="6" w:space="0" w:color="auto"/>
              <w:bottom w:val="single" w:sz="4" w:space="0" w:color="auto"/>
              <w:right w:val="single" w:sz="4" w:space="0" w:color="auto"/>
            </w:tcBorders>
            <w:shd w:val="clear" w:color="auto" w:fill="auto"/>
            <w:vAlign w:val="center"/>
          </w:tcPr>
          <w:p w14:paraId="0EC4AD4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60 </w:t>
            </w:r>
          </w:p>
        </w:tc>
        <w:tc>
          <w:tcPr>
            <w:tcW w:w="2789" w:type="pct"/>
            <w:tcBorders>
              <w:top w:val="nil"/>
              <w:left w:val="single" w:sz="4" w:space="0" w:color="auto"/>
              <w:bottom w:val="single" w:sz="4" w:space="0" w:color="auto"/>
              <w:right w:val="single" w:sz="4" w:space="0" w:color="auto"/>
            </w:tcBorders>
            <w:shd w:val="clear" w:color="auto" w:fill="auto"/>
            <w:vAlign w:val="center"/>
          </w:tcPr>
          <w:p w14:paraId="2A38D4D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Silagem de milho ensacada, mínimo de 35% de matéria seca de grão em relação a matéria seca total da silagem, máximo de 10% de partículas com tamanho superior a 19 mm e máximo de 30% de partículas com tamanho inferior a 8 mm, verificado em peneira do tipo Penn State Particle Separator, conforme metodologia do equipamento. Composição (níveis de garantia em % da MS): Umidade (mín.): 30%; Umidade (máx.): 39%; Amido (mín.): 27%; Proteína Bruta (mín.): 7%; Fibra em Detergente Neutro (máx): 55%. Apresentação em sacos plásticos hermeticamente vedados, compactados e com pesos padronizados, sendo estes de no máximo 40 kg. ME/EPP</w:t>
            </w:r>
          </w:p>
        </w:tc>
        <w:tc>
          <w:tcPr>
            <w:tcW w:w="389" w:type="pct"/>
            <w:tcBorders>
              <w:top w:val="nil"/>
              <w:left w:val="nil"/>
              <w:bottom w:val="single" w:sz="4" w:space="0" w:color="auto"/>
              <w:right w:val="single" w:sz="4" w:space="0" w:color="auto"/>
            </w:tcBorders>
            <w:shd w:val="clear" w:color="auto" w:fill="auto"/>
            <w:vAlign w:val="center"/>
          </w:tcPr>
          <w:p w14:paraId="6148FCB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39999</w:t>
            </w:r>
          </w:p>
        </w:tc>
        <w:tc>
          <w:tcPr>
            <w:tcW w:w="344" w:type="pct"/>
            <w:tcBorders>
              <w:top w:val="nil"/>
              <w:left w:val="nil"/>
              <w:bottom w:val="single" w:sz="4" w:space="0" w:color="auto"/>
              <w:right w:val="single" w:sz="4" w:space="0" w:color="auto"/>
            </w:tcBorders>
            <w:shd w:val="clear" w:color="auto" w:fill="auto"/>
            <w:vAlign w:val="center"/>
          </w:tcPr>
          <w:p w14:paraId="4814BBF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5E7B123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2,00 </w:t>
            </w:r>
          </w:p>
        </w:tc>
        <w:tc>
          <w:tcPr>
            <w:tcW w:w="644" w:type="pct"/>
            <w:tcBorders>
              <w:top w:val="nil"/>
              <w:left w:val="nil"/>
              <w:bottom w:val="single" w:sz="4" w:space="0" w:color="auto"/>
              <w:right w:val="single" w:sz="4" w:space="0" w:color="auto"/>
            </w:tcBorders>
            <w:shd w:val="clear" w:color="auto" w:fill="auto"/>
            <w:noWrap/>
            <w:vAlign w:val="center"/>
          </w:tcPr>
          <w:p w14:paraId="3276F05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79.998,00 </w:t>
            </w:r>
          </w:p>
        </w:tc>
      </w:tr>
      <w:tr w:rsidR="00E878FB" w14:paraId="2F7E759F" w14:textId="77777777" w:rsidTr="00156804">
        <w:trPr>
          <w:trHeight w:val="564"/>
        </w:trPr>
        <w:tc>
          <w:tcPr>
            <w:tcW w:w="289" w:type="pct"/>
            <w:tcBorders>
              <w:top w:val="nil"/>
              <w:left w:val="double" w:sz="6" w:space="0" w:color="auto"/>
              <w:bottom w:val="single" w:sz="4" w:space="0" w:color="auto"/>
              <w:right w:val="single" w:sz="4" w:space="0" w:color="auto"/>
            </w:tcBorders>
            <w:shd w:val="clear" w:color="auto" w:fill="auto"/>
            <w:vAlign w:val="center"/>
          </w:tcPr>
          <w:p w14:paraId="5061222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61 </w:t>
            </w:r>
          </w:p>
        </w:tc>
        <w:tc>
          <w:tcPr>
            <w:tcW w:w="2789" w:type="pct"/>
            <w:tcBorders>
              <w:top w:val="nil"/>
              <w:left w:val="nil"/>
              <w:bottom w:val="single" w:sz="4" w:space="0" w:color="auto"/>
              <w:right w:val="single" w:sz="4" w:space="0" w:color="auto"/>
            </w:tcBorders>
            <w:shd w:val="clear" w:color="auto" w:fill="auto"/>
            <w:vAlign w:val="center"/>
          </w:tcPr>
          <w:p w14:paraId="3968C93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SOLUÇÃO DE ÁCIDO LÁTICO, 2,5% PARA HIGIENIZAÇÃO DE TETOS PÓS ORDENHA, USO VETERINÁRIO, SANITIZANTE LÍQUIDO PRONTO PARA USO - PÓS-DIPPING, COMPOSIÇÃO: ÁCIDO LÁTICO (2,5%), TENSOATIVO ANIÔNICO E EMOLIENTE, EMBALAGENS PADRONIZADAS DE 5 LITROS </w:t>
            </w:r>
          </w:p>
        </w:tc>
        <w:tc>
          <w:tcPr>
            <w:tcW w:w="389" w:type="pct"/>
            <w:tcBorders>
              <w:top w:val="nil"/>
              <w:left w:val="nil"/>
              <w:bottom w:val="single" w:sz="4" w:space="0" w:color="auto"/>
              <w:right w:val="single" w:sz="4" w:space="0" w:color="auto"/>
            </w:tcBorders>
            <w:shd w:val="clear" w:color="auto" w:fill="auto"/>
            <w:vAlign w:val="center"/>
          </w:tcPr>
          <w:p w14:paraId="03FB93D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12</w:t>
            </w:r>
          </w:p>
        </w:tc>
        <w:tc>
          <w:tcPr>
            <w:tcW w:w="344" w:type="pct"/>
            <w:tcBorders>
              <w:top w:val="nil"/>
              <w:left w:val="nil"/>
              <w:bottom w:val="single" w:sz="4" w:space="0" w:color="auto"/>
              <w:right w:val="single" w:sz="4" w:space="0" w:color="auto"/>
            </w:tcBorders>
            <w:shd w:val="clear" w:color="auto" w:fill="auto"/>
            <w:vAlign w:val="center"/>
          </w:tcPr>
          <w:p w14:paraId="6563E25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43F017A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165,75 </w:t>
            </w:r>
          </w:p>
        </w:tc>
        <w:tc>
          <w:tcPr>
            <w:tcW w:w="644" w:type="pct"/>
            <w:tcBorders>
              <w:top w:val="nil"/>
              <w:left w:val="nil"/>
              <w:bottom w:val="single" w:sz="4" w:space="0" w:color="auto"/>
              <w:right w:val="single" w:sz="4" w:space="0" w:color="auto"/>
            </w:tcBorders>
            <w:shd w:val="clear" w:color="auto" w:fill="auto"/>
            <w:noWrap/>
            <w:vAlign w:val="center"/>
          </w:tcPr>
          <w:p w14:paraId="6CC7290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1.989,00 </w:t>
            </w:r>
          </w:p>
        </w:tc>
      </w:tr>
      <w:tr w:rsidR="00E878FB" w14:paraId="1A388BE5" w14:textId="77777777" w:rsidTr="00156804">
        <w:trPr>
          <w:trHeight w:val="491"/>
        </w:trPr>
        <w:tc>
          <w:tcPr>
            <w:tcW w:w="289" w:type="pct"/>
            <w:tcBorders>
              <w:top w:val="nil"/>
              <w:left w:val="double" w:sz="6" w:space="0" w:color="auto"/>
              <w:bottom w:val="single" w:sz="4" w:space="0" w:color="auto"/>
              <w:right w:val="single" w:sz="4" w:space="0" w:color="auto"/>
            </w:tcBorders>
            <w:shd w:val="clear" w:color="auto" w:fill="auto"/>
            <w:vAlign w:val="center"/>
          </w:tcPr>
          <w:p w14:paraId="21731A8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62 </w:t>
            </w:r>
          </w:p>
        </w:tc>
        <w:tc>
          <w:tcPr>
            <w:tcW w:w="2789" w:type="pct"/>
            <w:tcBorders>
              <w:top w:val="nil"/>
              <w:left w:val="nil"/>
              <w:bottom w:val="single" w:sz="4" w:space="0" w:color="auto"/>
              <w:right w:val="single" w:sz="4" w:space="0" w:color="auto"/>
            </w:tcBorders>
            <w:shd w:val="clear" w:color="auto" w:fill="auto"/>
            <w:vAlign w:val="center"/>
          </w:tcPr>
          <w:p w14:paraId="57CD3E4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Soro antiofídico polivalente, apresentação em Kit contendo: 01 frasco com imunoglobulinas liofilizadas e seringa contendo 50 mL de diluente (água bidestilada) - Frasco 50 ml </w:t>
            </w:r>
          </w:p>
        </w:tc>
        <w:tc>
          <w:tcPr>
            <w:tcW w:w="389" w:type="pct"/>
            <w:tcBorders>
              <w:top w:val="nil"/>
              <w:left w:val="nil"/>
              <w:bottom w:val="single" w:sz="4" w:space="0" w:color="auto"/>
              <w:right w:val="single" w:sz="4" w:space="0" w:color="auto"/>
            </w:tcBorders>
            <w:shd w:val="clear" w:color="auto" w:fill="auto"/>
            <w:vAlign w:val="center"/>
          </w:tcPr>
          <w:p w14:paraId="77DAFB1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44" w:type="pct"/>
            <w:tcBorders>
              <w:top w:val="nil"/>
              <w:left w:val="nil"/>
              <w:bottom w:val="single" w:sz="4" w:space="0" w:color="auto"/>
              <w:right w:val="single" w:sz="4" w:space="0" w:color="auto"/>
            </w:tcBorders>
            <w:shd w:val="clear" w:color="auto" w:fill="auto"/>
            <w:vAlign w:val="center"/>
          </w:tcPr>
          <w:p w14:paraId="26DF7E4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kit</w:t>
            </w:r>
          </w:p>
        </w:tc>
        <w:tc>
          <w:tcPr>
            <w:tcW w:w="544" w:type="pct"/>
            <w:tcBorders>
              <w:top w:val="nil"/>
              <w:left w:val="nil"/>
              <w:bottom w:val="single" w:sz="4" w:space="0" w:color="auto"/>
              <w:right w:val="single" w:sz="4" w:space="0" w:color="auto"/>
            </w:tcBorders>
            <w:shd w:val="clear" w:color="auto" w:fill="auto"/>
            <w:noWrap/>
            <w:vAlign w:val="center"/>
          </w:tcPr>
          <w:p w14:paraId="66FBD98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134,26 </w:t>
            </w:r>
          </w:p>
        </w:tc>
        <w:tc>
          <w:tcPr>
            <w:tcW w:w="644" w:type="pct"/>
            <w:tcBorders>
              <w:top w:val="nil"/>
              <w:left w:val="nil"/>
              <w:bottom w:val="single" w:sz="4" w:space="0" w:color="auto"/>
              <w:right w:val="single" w:sz="4" w:space="0" w:color="auto"/>
            </w:tcBorders>
            <w:shd w:val="clear" w:color="auto" w:fill="auto"/>
            <w:noWrap/>
            <w:vAlign w:val="center"/>
          </w:tcPr>
          <w:p w14:paraId="66D526A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1.342,60 </w:t>
            </w:r>
          </w:p>
        </w:tc>
      </w:tr>
      <w:tr w:rsidR="00E878FB" w14:paraId="21BF2A01" w14:textId="77777777" w:rsidTr="00156804">
        <w:trPr>
          <w:trHeight w:val="1350"/>
        </w:trPr>
        <w:tc>
          <w:tcPr>
            <w:tcW w:w="289" w:type="pct"/>
            <w:tcBorders>
              <w:top w:val="nil"/>
              <w:left w:val="double" w:sz="6" w:space="0" w:color="auto"/>
              <w:bottom w:val="single" w:sz="4" w:space="0" w:color="auto"/>
              <w:right w:val="single" w:sz="4" w:space="0" w:color="auto"/>
            </w:tcBorders>
            <w:shd w:val="clear" w:color="auto" w:fill="auto"/>
            <w:vAlign w:val="center"/>
          </w:tcPr>
          <w:p w14:paraId="065B7EA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63 </w:t>
            </w:r>
          </w:p>
        </w:tc>
        <w:tc>
          <w:tcPr>
            <w:tcW w:w="2789" w:type="pct"/>
            <w:tcBorders>
              <w:top w:val="nil"/>
              <w:left w:val="nil"/>
              <w:bottom w:val="single" w:sz="4" w:space="0" w:color="auto"/>
              <w:right w:val="single" w:sz="4" w:space="0" w:color="auto"/>
            </w:tcBorders>
            <w:shd w:val="clear" w:color="auto" w:fill="auto"/>
            <w:vAlign w:val="center"/>
          </w:tcPr>
          <w:p w14:paraId="7F16717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SUPLEMENTO INJETÁVEL DE FERRO ELEMENTAR (10%) E VITAMINA B12, USO VETERINÁRIO, SUSPENSÃO INJETÁVEL (CONCENTRAÇÃO DE FERRO ELEMENTAR DE 100MG/1,0 ML), COMPOSIÇÃO (POR 1,0 ML), FERRO ELEMENTAR 100 MG, VITAMINA B12 10 MCG, VEÍCULO Q. S. P. 1 ML, EMBALAGENS COM VOLUME PADRONIZADO DE 100ML </w:t>
            </w:r>
          </w:p>
        </w:tc>
        <w:tc>
          <w:tcPr>
            <w:tcW w:w="389" w:type="pct"/>
            <w:tcBorders>
              <w:top w:val="nil"/>
              <w:left w:val="nil"/>
              <w:bottom w:val="single" w:sz="4" w:space="0" w:color="auto"/>
              <w:right w:val="single" w:sz="4" w:space="0" w:color="auto"/>
            </w:tcBorders>
            <w:shd w:val="clear" w:color="auto" w:fill="auto"/>
            <w:vAlign w:val="center"/>
          </w:tcPr>
          <w:p w14:paraId="1B0B767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24</w:t>
            </w:r>
          </w:p>
        </w:tc>
        <w:tc>
          <w:tcPr>
            <w:tcW w:w="344" w:type="pct"/>
            <w:tcBorders>
              <w:top w:val="nil"/>
              <w:left w:val="nil"/>
              <w:bottom w:val="single" w:sz="4" w:space="0" w:color="auto"/>
              <w:right w:val="single" w:sz="4" w:space="0" w:color="auto"/>
            </w:tcBorders>
            <w:shd w:val="clear" w:color="auto" w:fill="auto"/>
            <w:vAlign w:val="center"/>
          </w:tcPr>
          <w:p w14:paraId="21CC688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39D1FC5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24,78 </w:t>
            </w:r>
          </w:p>
        </w:tc>
        <w:tc>
          <w:tcPr>
            <w:tcW w:w="644" w:type="pct"/>
            <w:tcBorders>
              <w:top w:val="nil"/>
              <w:left w:val="nil"/>
              <w:bottom w:val="single" w:sz="4" w:space="0" w:color="auto"/>
              <w:right w:val="single" w:sz="4" w:space="0" w:color="auto"/>
            </w:tcBorders>
            <w:shd w:val="clear" w:color="auto" w:fill="auto"/>
            <w:noWrap/>
            <w:vAlign w:val="center"/>
          </w:tcPr>
          <w:p w14:paraId="47C9BF5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594,72 </w:t>
            </w:r>
          </w:p>
        </w:tc>
      </w:tr>
      <w:tr w:rsidR="00E878FB" w14:paraId="4A3F9239" w14:textId="77777777" w:rsidTr="00156804">
        <w:trPr>
          <w:trHeight w:val="1764"/>
        </w:trPr>
        <w:tc>
          <w:tcPr>
            <w:tcW w:w="289" w:type="pct"/>
            <w:tcBorders>
              <w:top w:val="nil"/>
              <w:left w:val="double" w:sz="6" w:space="0" w:color="auto"/>
              <w:bottom w:val="single" w:sz="4" w:space="0" w:color="auto"/>
              <w:right w:val="single" w:sz="4" w:space="0" w:color="auto"/>
            </w:tcBorders>
            <w:shd w:val="clear" w:color="auto" w:fill="auto"/>
            <w:vAlign w:val="center"/>
          </w:tcPr>
          <w:p w14:paraId="3DBB2C5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64 </w:t>
            </w:r>
          </w:p>
        </w:tc>
        <w:tc>
          <w:tcPr>
            <w:tcW w:w="2789" w:type="pct"/>
            <w:tcBorders>
              <w:top w:val="nil"/>
              <w:left w:val="nil"/>
              <w:bottom w:val="single" w:sz="4" w:space="0" w:color="auto"/>
              <w:right w:val="single" w:sz="4" w:space="0" w:color="auto"/>
            </w:tcBorders>
            <w:shd w:val="clear" w:color="auto" w:fill="auto"/>
            <w:vAlign w:val="center"/>
          </w:tcPr>
          <w:p w14:paraId="50A03C5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SUPLEMENTO MINERAL VITAMÍNICO COMPLETO PRONTO PARA USO - ESPÉCIE ANIMAL: CAPRINOS LEITEIROS. APRESENTAÇÃO EM SACOS COM PESOS PADRONIZADOS, SENDO ESTES DE NO MÁXIMO 30 KG. COMPOSIÇÃO (NÍVEIS DE GARANTIA): CÁLCIO (MÁX.): 175 G/KG; FÓSFORO (MÍN.): 80 G/KG; MAGNÉSIO (MÍN.): 12 G/KG; ENXOFRE (MÍN.): 12 G/KG; SÓDIO (MÍN.): 70 G/KG; COBALTO (MÍN.): 150 MG/KG; COBRE (MÍN.): 325 MG/KG; FERRO (MÍN.): 850 MG/KG; IODO (MÍN.): 175 MG/KG; MANGANÊS (MÍN.): 1400 MG/KG; SELÊNIO (MÍN.): 17 MG/KG; ZINCO (MÍN.): 5200 MG/KG; FLÚOR (MÁX.): 850 MG/KG; VITAMINA A (MÍN.): 110000 UI/KG; VITAMINA E (MÍN.): 500 UI/KG </w:t>
            </w:r>
          </w:p>
        </w:tc>
        <w:tc>
          <w:tcPr>
            <w:tcW w:w="389" w:type="pct"/>
            <w:tcBorders>
              <w:top w:val="nil"/>
              <w:left w:val="nil"/>
              <w:bottom w:val="single" w:sz="4" w:space="0" w:color="auto"/>
              <w:right w:val="single" w:sz="4" w:space="0" w:color="auto"/>
            </w:tcBorders>
            <w:shd w:val="clear" w:color="auto" w:fill="auto"/>
            <w:vAlign w:val="center"/>
          </w:tcPr>
          <w:p w14:paraId="2E3723A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600</w:t>
            </w:r>
          </w:p>
        </w:tc>
        <w:tc>
          <w:tcPr>
            <w:tcW w:w="344" w:type="pct"/>
            <w:tcBorders>
              <w:top w:val="nil"/>
              <w:left w:val="nil"/>
              <w:bottom w:val="single" w:sz="4" w:space="0" w:color="auto"/>
              <w:right w:val="single" w:sz="4" w:space="0" w:color="auto"/>
            </w:tcBorders>
            <w:shd w:val="clear" w:color="auto" w:fill="auto"/>
            <w:vAlign w:val="center"/>
          </w:tcPr>
          <w:p w14:paraId="145EAB6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0EE29F6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9,40 </w:t>
            </w:r>
          </w:p>
        </w:tc>
        <w:tc>
          <w:tcPr>
            <w:tcW w:w="644" w:type="pct"/>
            <w:tcBorders>
              <w:top w:val="nil"/>
              <w:left w:val="nil"/>
              <w:bottom w:val="single" w:sz="4" w:space="0" w:color="auto"/>
              <w:right w:val="single" w:sz="4" w:space="0" w:color="auto"/>
            </w:tcBorders>
            <w:shd w:val="clear" w:color="auto" w:fill="auto"/>
            <w:noWrap/>
            <w:vAlign w:val="center"/>
          </w:tcPr>
          <w:p w14:paraId="270A1E7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5.640,00 </w:t>
            </w:r>
          </w:p>
        </w:tc>
      </w:tr>
      <w:tr w:rsidR="00E878FB" w14:paraId="56D44AE1" w14:textId="77777777" w:rsidTr="00156804">
        <w:trPr>
          <w:trHeight w:val="1684"/>
        </w:trPr>
        <w:tc>
          <w:tcPr>
            <w:tcW w:w="289" w:type="pct"/>
            <w:tcBorders>
              <w:top w:val="nil"/>
              <w:left w:val="double" w:sz="6" w:space="0" w:color="auto"/>
              <w:bottom w:val="single" w:sz="4" w:space="0" w:color="auto"/>
              <w:right w:val="single" w:sz="4" w:space="0" w:color="auto"/>
            </w:tcBorders>
            <w:shd w:val="clear" w:color="auto" w:fill="auto"/>
            <w:vAlign w:val="center"/>
          </w:tcPr>
          <w:p w14:paraId="03D96A2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65 </w:t>
            </w:r>
          </w:p>
        </w:tc>
        <w:tc>
          <w:tcPr>
            <w:tcW w:w="2789" w:type="pct"/>
            <w:tcBorders>
              <w:top w:val="nil"/>
              <w:left w:val="nil"/>
              <w:bottom w:val="single" w:sz="4" w:space="0" w:color="auto"/>
              <w:right w:val="single" w:sz="4" w:space="0" w:color="auto"/>
            </w:tcBorders>
            <w:shd w:val="clear" w:color="auto" w:fill="auto"/>
            <w:vAlign w:val="center"/>
          </w:tcPr>
          <w:p w14:paraId="46C92A2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SUPLEMENTO MINERAL VITAMÍNICO COMPLETO PRONTO PARA USO - ESPÉCIE ANIMAL: EQUINOS. APRESENTAÇÃO EM SACOS COM PESOS PADRONIZADOS, SENDO ESTES DE NO MÁXIMO 30 KG. COMPOSIÇÃO (NÍVEIS DE GARANTIA): CÁLCIO (MÁX.): 200 G/KG; FÓSFORO (MÍN.): 80 G/KG; MAGNÉSIO (MÍN.): 6000 MG/KG; ENXOFRE (MÍN.): 7 G/KG; SÓDIO (MÍN.): 100 G/KG; COBALTO (MÍN.): 40 MG/KG; COBRE (MÍN.): 1200 MG/KG; FERRO (MÍN.): 1000 MG/KG; IODO (MÍN.): 80 MG/KG; MANGANÊS (MÍN.): 1200 MG/KG; SELÊNIO (MÍN.): 12 MG/KG; ZINCO (MÍN.): 3000 MG/KG; FLÚOR (MÁX.): 900 MG/KG; VITAMINA A (MÍN.): 110000 UI/KG; VITAMINA E (MÍN.): 500 UI/KG </w:t>
            </w:r>
          </w:p>
        </w:tc>
        <w:tc>
          <w:tcPr>
            <w:tcW w:w="389" w:type="pct"/>
            <w:tcBorders>
              <w:top w:val="nil"/>
              <w:left w:val="nil"/>
              <w:bottom w:val="single" w:sz="4" w:space="0" w:color="auto"/>
              <w:right w:val="single" w:sz="4" w:space="0" w:color="auto"/>
            </w:tcBorders>
            <w:shd w:val="clear" w:color="auto" w:fill="auto"/>
            <w:vAlign w:val="center"/>
          </w:tcPr>
          <w:p w14:paraId="2E634D3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700</w:t>
            </w:r>
          </w:p>
        </w:tc>
        <w:tc>
          <w:tcPr>
            <w:tcW w:w="344" w:type="pct"/>
            <w:tcBorders>
              <w:top w:val="nil"/>
              <w:left w:val="nil"/>
              <w:bottom w:val="single" w:sz="4" w:space="0" w:color="auto"/>
              <w:right w:val="single" w:sz="4" w:space="0" w:color="auto"/>
            </w:tcBorders>
            <w:shd w:val="clear" w:color="auto" w:fill="auto"/>
            <w:vAlign w:val="center"/>
          </w:tcPr>
          <w:p w14:paraId="3297485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70C04039"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8,45 </w:t>
            </w:r>
          </w:p>
        </w:tc>
        <w:tc>
          <w:tcPr>
            <w:tcW w:w="644" w:type="pct"/>
            <w:tcBorders>
              <w:top w:val="nil"/>
              <w:left w:val="nil"/>
              <w:bottom w:val="single" w:sz="4" w:space="0" w:color="auto"/>
              <w:right w:val="single" w:sz="4" w:space="0" w:color="auto"/>
            </w:tcBorders>
            <w:shd w:val="clear" w:color="auto" w:fill="auto"/>
            <w:noWrap/>
            <w:vAlign w:val="center"/>
          </w:tcPr>
          <w:p w14:paraId="1A6CB12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5.915,00 </w:t>
            </w:r>
          </w:p>
        </w:tc>
      </w:tr>
      <w:tr w:rsidR="00E878FB" w14:paraId="6657D7DC" w14:textId="77777777" w:rsidTr="00156804">
        <w:trPr>
          <w:trHeight w:val="1443"/>
        </w:trPr>
        <w:tc>
          <w:tcPr>
            <w:tcW w:w="289" w:type="pct"/>
            <w:tcBorders>
              <w:top w:val="nil"/>
              <w:left w:val="double" w:sz="6" w:space="0" w:color="auto"/>
              <w:bottom w:val="single" w:sz="4" w:space="0" w:color="auto"/>
              <w:right w:val="single" w:sz="4" w:space="0" w:color="auto"/>
            </w:tcBorders>
            <w:shd w:val="clear" w:color="auto" w:fill="auto"/>
            <w:vAlign w:val="center"/>
          </w:tcPr>
          <w:p w14:paraId="2949784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66 </w:t>
            </w:r>
          </w:p>
        </w:tc>
        <w:tc>
          <w:tcPr>
            <w:tcW w:w="2789" w:type="pct"/>
            <w:tcBorders>
              <w:top w:val="nil"/>
              <w:left w:val="nil"/>
              <w:bottom w:val="single" w:sz="4" w:space="0" w:color="auto"/>
              <w:right w:val="single" w:sz="4" w:space="0" w:color="auto"/>
            </w:tcBorders>
            <w:shd w:val="clear" w:color="auto" w:fill="auto"/>
            <w:vAlign w:val="center"/>
          </w:tcPr>
          <w:p w14:paraId="0298DE4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SUPLEMENTO MINERAL VITAMÍNICO COMPLETO PRONTO PARA USO - ESPÉCIE ANIMAL: OVINOS. APRESENTAÇÃO EM SACOS COM PESOS PADRONIZADOS, SENDO ESTES DE NO MÁXIMO 30 KG. COMPOSIÇÃO (NÍVEIS DE GARANTIA): CÁLCIO (MÁX.): 215 G/KG; FÓSFORO (MÍN.): 65 G/KG; MAGNÉSIO (MÍN.): 4 G/KG; ENXOFRE (MÍN.): 12 G/KG; SÓDIO (MÍN.): 75 G/KG; COBALTO (MÍN.): 30 MG/KG; COBRE (MÁX.): 590 MG/KG; FERRO (MÍN.): 300 MG/KG; IODO (MÍN.): 50 MG/KG; MANGANÊS (MÍN.): 1200 MG/KG; SELÊNIO (MÍN.): 12 MG/KG; ZINCO </w:t>
            </w:r>
          </w:p>
        </w:tc>
        <w:tc>
          <w:tcPr>
            <w:tcW w:w="389" w:type="pct"/>
            <w:tcBorders>
              <w:top w:val="nil"/>
              <w:left w:val="nil"/>
              <w:bottom w:val="single" w:sz="4" w:space="0" w:color="auto"/>
              <w:right w:val="single" w:sz="4" w:space="0" w:color="auto"/>
            </w:tcBorders>
            <w:shd w:val="clear" w:color="auto" w:fill="auto"/>
            <w:vAlign w:val="center"/>
          </w:tcPr>
          <w:p w14:paraId="3D949F3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300</w:t>
            </w:r>
          </w:p>
        </w:tc>
        <w:tc>
          <w:tcPr>
            <w:tcW w:w="344" w:type="pct"/>
            <w:tcBorders>
              <w:top w:val="nil"/>
              <w:left w:val="nil"/>
              <w:bottom w:val="single" w:sz="4" w:space="0" w:color="auto"/>
              <w:right w:val="single" w:sz="4" w:space="0" w:color="auto"/>
            </w:tcBorders>
            <w:shd w:val="clear" w:color="auto" w:fill="auto"/>
            <w:vAlign w:val="center"/>
          </w:tcPr>
          <w:p w14:paraId="09ABDA4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20E14DC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8,45 </w:t>
            </w:r>
          </w:p>
        </w:tc>
        <w:tc>
          <w:tcPr>
            <w:tcW w:w="644" w:type="pct"/>
            <w:tcBorders>
              <w:top w:val="nil"/>
              <w:left w:val="nil"/>
              <w:bottom w:val="single" w:sz="4" w:space="0" w:color="auto"/>
              <w:right w:val="single" w:sz="4" w:space="0" w:color="auto"/>
            </w:tcBorders>
            <w:shd w:val="clear" w:color="auto" w:fill="auto"/>
            <w:noWrap/>
            <w:vAlign w:val="center"/>
          </w:tcPr>
          <w:p w14:paraId="7E71946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2.535,00 </w:t>
            </w:r>
          </w:p>
        </w:tc>
      </w:tr>
      <w:tr w:rsidR="00E878FB" w14:paraId="231F3240" w14:textId="77777777" w:rsidTr="00156804">
        <w:trPr>
          <w:trHeight w:val="2791"/>
        </w:trPr>
        <w:tc>
          <w:tcPr>
            <w:tcW w:w="289" w:type="pct"/>
            <w:tcBorders>
              <w:top w:val="nil"/>
              <w:left w:val="double" w:sz="6" w:space="0" w:color="auto"/>
              <w:bottom w:val="single" w:sz="4" w:space="0" w:color="auto"/>
              <w:right w:val="single" w:sz="4" w:space="0" w:color="auto"/>
            </w:tcBorders>
            <w:shd w:val="clear" w:color="auto" w:fill="auto"/>
            <w:vAlign w:val="center"/>
          </w:tcPr>
          <w:p w14:paraId="5301110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67 </w:t>
            </w:r>
          </w:p>
        </w:tc>
        <w:tc>
          <w:tcPr>
            <w:tcW w:w="2789" w:type="pct"/>
            <w:tcBorders>
              <w:top w:val="nil"/>
              <w:left w:val="nil"/>
              <w:bottom w:val="single" w:sz="4" w:space="0" w:color="auto"/>
              <w:right w:val="single" w:sz="4" w:space="0" w:color="auto"/>
            </w:tcBorders>
            <w:shd w:val="clear" w:color="auto" w:fill="auto"/>
            <w:vAlign w:val="center"/>
          </w:tcPr>
          <w:p w14:paraId="6AF707E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SUPLEMENTO MINERAL VITAMÍNICO PARA AVES DE POSTURA. CATEGORIA: POSTURA, EM PRODUÇÃO. APRESENTAÇÃO EM SACOS COM PESOS PADRONIZADOS, SENDO ESTES DE NO MÁXIMO 20 KG. COMPOSIÇÃO (NÍVEIS DE GARANTIA): CÁLCIO (MÍN): 250,00 G/KG; BACITRACINA DE ZINCO (MÍN) 1.200,00 MG/KG; CÁLCIO (MAX): 350,00 G/KG; FÓSFORO (MÍN): 42,00 G/KG; SÓDIO (MÍN): 32,00 G/KG; MANGANÊS (MÍN): 1.200,00 MG/KG; FERRO (MÍN): 1.200,00 MG/KG; ZINCO (MÍN): 1.100,00 MG/KG; COBRE (MÍN): 130,00 MG/KG; IODO (MÍN): 23,00 MG/KG; SELÊNIO (MÍN): 3,50 MG/KG; COBALTO (MÍN): 2,00 MG/KG; FLÚOR (MAX): 400,00 MG/KG; METIONINA (MÍN): 20,00 G/KG; ÁCIDO FÓLICO (MÍN): 2,00 MG/KG; ÁCIDO PANTOTÊNICO (MÍN): 220,00 MG/KG; BIOTINA (MÍN): 0,22 MG/KG; COLINA (MÍN): 5.000,00 MG/KG; VITAMINA A (MÍN) 180.000,00 UI/KG; VITAMINA B1 (MÍN): 20,00 MG/KG; VITAMINA B2 (MÍN) 75,00 MG/KG; VITAMINA B12 (MÍN): 125,00 MCG/KG; FITASE (MÍN): 6.000,00 FTU/KG. </w:t>
            </w:r>
          </w:p>
        </w:tc>
        <w:tc>
          <w:tcPr>
            <w:tcW w:w="389" w:type="pct"/>
            <w:tcBorders>
              <w:top w:val="nil"/>
              <w:left w:val="nil"/>
              <w:bottom w:val="single" w:sz="4" w:space="0" w:color="auto"/>
              <w:right w:val="single" w:sz="4" w:space="0" w:color="auto"/>
            </w:tcBorders>
            <w:shd w:val="clear" w:color="auto" w:fill="auto"/>
            <w:vAlign w:val="center"/>
          </w:tcPr>
          <w:p w14:paraId="21F79C1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20</w:t>
            </w:r>
          </w:p>
        </w:tc>
        <w:tc>
          <w:tcPr>
            <w:tcW w:w="344" w:type="pct"/>
            <w:tcBorders>
              <w:top w:val="nil"/>
              <w:left w:val="nil"/>
              <w:bottom w:val="single" w:sz="4" w:space="0" w:color="auto"/>
              <w:right w:val="single" w:sz="4" w:space="0" w:color="auto"/>
            </w:tcBorders>
            <w:shd w:val="clear" w:color="auto" w:fill="auto"/>
            <w:vAlign w:val="center"/>
          </w:tcPr>
          <w:p w14:paraId="332AD5A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KG</w:t>
            </w:r>
          </w:p>
        </w:tc>
        <w:tc>
          <w:tcPr>
            <w:tcW w:w="544" w:type="pct"/>
            <w:tcBorders>
              <w:top w:val="nil"/>
              <w:left w:val="nil"/>
              <w:bottom w:val="single" w:sz="4" w:space="0" w:color="auto"/>
              <w:right w:val="single" w:sz="4" w:space="0" w:color="auto"/>
            </w:tcBorders>
            <w:shd w:val="clear" w:color="auto" w:fill="auto"/>
            <w:noWrap/>
            <w:vAlign w:val="center"/>
          </w:tcPr>
          <w:p w14:paraId="0D521D5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9,80 </w:t>
            </w:r>
          </w:p>
        </w:tc>
        <w:tc>
          <w:tcPr>
            <w:tcW w:w="644" w:type="pct"/>
            <w:tcBorders>
              <w:top w:val="nil"/>
              <w:left w:val="nil"/>
              <w:bottom w:val="single" w:sz="4" w:space="0" w:color="auto"/>
              <w:right w:val="single" w:sz="4" w:space="0" w:color="auto"/>
            </w:tcBorders>
            <w:shd w:val="clear" w:color="auto" w:fill="auto"/>
            <w:noWrap/>
            <w:vAlign w:val="center"/>
          </w:tcPr>
          <w:p w14:paraId="223D422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196,00 </w:t>
            </w:r>
          </w:p>
        </w:tc>
      </w:tr>
      <w:tr w:rsidR="00E878FB" w14:paraId="5E1D3F87" w14:textId="77777777" w:rsidTr="00156804">
        <w:trPr>
          <w:trHeight w:val="790"/>
        </w:trPr>
        <w:tc>
          <w:tcPr>
            <w:tcW w:w="289" w:type="pct"/>
            <w:tcBorders>
              <w:top w:val="nil"/>
              <w:left w:val="double" w:sz="6" w:space="0" w:color="auto"/>
              <w:bottom w:val="single" w:sz="4" w:space="0" w:color="auto"/>
              <w:right w:val="single" w:sz="4" w:space="0" w:color="auto"/>
            </w:tcBorders>
            <w:shd w:val="clear" w:color="auto" w:fill="auto"/>
            <w:vAlign w:val="center"/>
          </w:tcPr>
          <w:p w14:paraId="7ED78C8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68 </w:t>
            </w:r>
          </w:p>
        </w:tc>
        <w:tc>
          <w:tcPr>
            <w:tcW w:w="2789" w:type="pct"/>
            <w:tcBorders>
              <w:top w:val="nil"/>
              <w:left w:val="nil"/>
              <w:bottom w:val="single" w:sz="4" w:space="0" w:color="auto"/>
              <w:right w:val="single" w:sz="4" w:space="0" w:color="auto"/>
            </w:tcBorders>
            <w:shd w:val="clear" w:color="auto" w:fill="auto"/>
            <w:vAlign w:val="center"/>
          </w:tcPr>
          <w:p w14:paraId="2E37EC1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SUSPENSÃO INTRAMAMÁRIA DE CLOXACILINA BENZATINA, (600 MG/8 G) DE LIBERAÇÃO LENTA, USO VETERINÁRIO, SUSPENSÃO INTRAMÁRIA, COMPOSIÇÃO (POR SERINGA DE 8 G), VEÍCULO OLEOSO DE LIBERAÇÃO PROLONGADA Q. S. P. 8 G, APRESENTAÇÃO EM SERINGAS PARA APLICAÇÃO COM PESO PADRONIZADO DE 8 G. UNIDADE </w:t>
            </w:r>
          </w:p>
        </w:tc>
        <w:tc>
          <w:tcPr>
            <w:tcW w:w="389" w:type="pct"/>
            <w:tcBorders>
              <w:top w:val="nil"/>
              <w:left w:val="nil"/>
              <w:bottom w:val="single" w:sz="4" w:space="0" w:color="auto"/>
              <w:right w:val="single" w:sz="4" w:space="0" w:color="auto"/>
            </w:tcBorders>
            <w:shd w:val="clear" w:color="auto" w:fill="auto"/>
            <w:vAlign w:val="center"/>
          </w:tcPr>
          <w:p w14:paraId="326A0E2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96</w:t>
            </w:r>
          </w:p>
        </w:tc>
        <w:tc>
          <w:tcPr>
            <w:tcW w:w="344" w:type="pct"/>
            <w:tcBorders>
              <w:top w:val="nil"/>
              <w:left w:val="nil"/>
              <w:bottom w:val="single" w:sz="4" w:space="0" w:color="auto"/>
              <w:right w:val="single" w:sz="4" w:space="0" w:color="auto"/>
            </w:tcBorders>
            <w:shd w:val="clear" w:color="auto" w:fill="auto"/>
            <w:vAlign w:val="center"/>
          </w:tcPr>
          <w:p w14:paraId="29AD73B7"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7E3CF7E3"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17,71 </w:t>
            </w:r>
          </w:p>
        </w:tc>
        <w:tc>
          <w:tcPr>
            <w:tcW w:w="644" w:type="pct"/>
            <w:tcBorders>
              <w:top w:val="nil"/>
              <w:left w:val="nil"/>
              <w:bottom w:val="single" w:sz="4" w:space="0" w:color="auto"/>
              <w:right w:val="single" w:sz="4" w:space="0" w:color="auto"/>
            </w:tcBorders>
            <w:shd w:val="clear" w:color="auto" w:fill="auto"/>
            <w:noWrap/>
            <w:vAlign w:val="center"/>
          </w:tcPr>
          <w:p w14:paraId="03FEB97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1.700,16 </w:t>
            </w:r>
          </w:p>
        </w:tc>
      </w:tr>
      <w:tr w:rsidR="00E878FB" w14:paraId="544E15D2" w14:textId="77777777" w:rsidTr="00156804">
        <w:trPr>
          <w:trHeight w:val="900"/>
        </w:trPr>
        <w:tc>
          <w:tcPr>
            <w:tcW w:w="289" w:type="pct"/>
            <w:tcBorders>
              <w:top w:val="nil"/>
              <w:left w:val="double" w:sz="6" w:space="0" w:color="auto"/>
              <w:bottom w:val="single" w:sz="4" w:space="0" w:color="auto"/>
              <w:right w:val="single" w:sz="4" w:space="0" w:color="auto"/>
            </w:tcBorders>
            <w:shd w:val="clear" w:color="auto" w:fill="auto"/>
            <w:vAlign w:val="center"/>
          </w:tcPr>
          <w:p w14:paraId="231AF43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69 </w:t>
            </w:r>
          </w:p>
        </w:tc>
        <w:tc>
          <w:tcPr>
            <w:tcW w:w="2789" w:type="pct"/>
            <w:tcBorders>
              <w:top w:val="nil"/>
              <w:left w:val="nil"/>
              <w:bottom w:val="single" w:sz="4" w:space="0" w:color="auto"/>
              <w:right w:val="single" w:sz="4" w:space="0" w:color="auto"/>
            </w:tcBorders>
            <w:shd w:val="clear" w:color="auto" w:fill="auto"/>
            <w:vAlign w:val="center"/>
          </w:tcPr>
          <w:p w14:paraId="5C17911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TINTURA DE IODO 10%, USO VETERINÁRIO, USO EXTERNO, COMPOSIÇÃO (POR 100 ML), IODO ATIVO 10 G, VEÍCULO Q.S P.100 ML, EMBALAGENS COM VOLUME PADRONIZADO DE 100 ML </w:t>
            </w:r>
          </w:p>
        </w:tc>
        <w:tc>
          <w:tcPr>
            <w:tcW w:w="389" w:type="pct"/>
            <w:tcBorders>
              <w:top w:val="nil"/>
              <w:left w:val="nil"/>
              <w:bottom w:val="single" w:sz="4" w:space="0" w:color="auto"/>
              <w:right w:val="single" w:sz="4" w:space="0" w:color="auto"/>
            </w:tcBorders>
            <w:shd w:val="clear" w:color="auto" w:fill="auto"/>
            <w:vAlign w:val="center"/>
          </w:tcPr>
          <w:p w14:paraId="0F26C2A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6</w:t>
            </w:r>
          </w:p>
        </w:tc>
        <w:tc>
          <w:tcPr>
            <w:tcW w:w="344" w:type="pct"/>
            <w:tcBorders>
              <w:top w:val="nil"/>
              <w:left w:val="nil"/>
              <w:bottom w:val="single" w:sz="4" w:space="0" w:color="auto"/>
              <w:right w:val="single" w:sz="4" w:space="0" w:color="auto"/>
            </w:tcBorders>
            <w:shd w:val="clear" w:color="auto" w:fill="auto"/>
            <w:vAlign w:val="center"/>
          </w:tcPr>
          <w:p w14:paraId="5D07491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7B8B631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51,38 </w:t>
            </w:r>
          </w:p>
        </w:tc>
        <w:tc>
          <w:tcPr>
            <w:tcW w:w="644" w:type="pct"/>
            <w:tcBorders>
              <w:top w:val="nil"/>
              <w:left w:val="nil"/>
              <w:bottom w:val="single" w:sz="4" w:space="0" w:color="auto"/>
              <w:right w:val="single" w:sz="4" w:space="0" w:color="auto"/>
            </w:tcBorders>
            <w:shd w:val="clear" w:color="auto" w:fill="auto"/>
            <w:noWrap/>
            <w:vAlign w:val="center"/>
          </w:tcPr>
          <w:p w14:paraId="2D669AD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308,28 </w:t>
            </w:r>
          </w:p>
        </w:tc>
      </w:tr>
      <w:tr w:rsidR="00E878FB" w14:paraId="110A80A3" w14:textId="77777777" w:rsidTr="00156804">
        <w:trPr>
          <w:trHeight w:val="1622"/>
        </w:trPr>
        <w:tc>
          <w:tcPr>
            <w:tcW w:w="289" w:type="pct"/>
            <w:tcBorders>
              <w:top w:val="nil"/>
              <w:left w:val="double" w:sz="6" w:space="0" w:color="auto"/>
              <w:bottom w:val="single" w:sz="4" w:space="0" w:color="auto"/>
              <w:right w:val="single" w:sz="4" w:space="0" w:color="auto"/>
            </w:tcBorders>
            <w:shd w:val="clear" w:color="auto" w:fill="auto"/>
            <w:vAlign w:val="center"/>
          </w:tcPr>
          <w:p w14:paraId="52A80795"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70 </w:t>
            </w:r>
          </w:p>
        </w:tc>
        <w:tc>
          <w:tcPr>
            <w:tcW w:w="2789" w:type="pct"/>
            <w:tcBorders>
              <w:top w:val="nil"/>
              <w:left w:val="nil"/>
              <w:bottom w:val="single" w:sz="4" w:space="0" w:color="auto"/>
              <w:right w:val="single" w:sz="4" w:space="0" w:color="auto"/>
            </w:tcBorders>
            <w:shd w:val="clear" w:color="auto" w:fill="auto"/>
            <w:vAlign w:val="center"/>
          </w:tcPr>
          <w:p w14:paraId="1337C75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VACINA CONTRA CLOSTRIDIOSES: CARBÚNCULO SINTOMÁTICO, GANGRENA GASOSA, MORTE SÚBITA, ENTEROTOXEMIA, EDEMA MALÍGNO, TÉTANO E BOTULISMO, USO VETERINÁRIO, SUSPENSÃO OBTIDA A PARTIR DE CULTURAS INATIVADAS DE C. CHAUVOEI E TOXOIDES DE C. SORDELLII, C. NOVYI B, C. PERFRINGENS B, C E D, C., SEPTICUM, C. TETANI E C. BOTULINUM TIPOS C E D, INATIVADOS PELO FORMALDEÍDO E ADSORVIDOS PELO GEL DE HIDRÓXIDO DE ALUMÍNIO, EMBALAGENS COM VOLUME PADRONIZADO DE 50 ML, DEVIDAMENTE ACONDICIONADA EM RECIPIENTE ISOTÉRMICO E REFRIGERADO PARA MANUTENÇÃO DA TEMPERATURA ENTRE 2 E 8°C </w:t>
            </w:r>
          </w:p>
        </w:tc>
        <w:tc>
          <w:tcPr>
            <w:tcW w:w="389" w:type="pct"/>
            <w:tcBorders>
              <w:top w:val="nil"/>
              <w:left w:val="nil"/>
              <w:bottom w:val="single" w:sz="4" w:space="0" w:color="auto"/>
              <w:right w:val="single" w:sz="4" w:space="0" w:color="auto"/>
            </w:tcBorders>
            <w:shd w:val="clear" w:color="auto" w:fill="auto"/>
            <w:vAlign w:val="center"/>
          </w:tcPr>
          <w:p w14:paraId="5DE7BAEF"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44" w:type="pct"/>
            <w:tcBorders>
              <w:top w:val="nil"/>
              <w:left w:val="nil"/>
              <w:bottom w:val="single" w:sz="4" w:space="0" w:color="auto"/>
              <w:right w:val="single" w:sz="4" w:space="0" w:color="auto"/>
            </w:tcBorders>
            <w:shd w:val="clear" w:color="auto" w:fill="auto"/>
            <w:vAlign w:val="center"/>
          </w:tcPr>
          <w:p w14:paraId="1DFB4A9A"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4C69BF6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53,33 </w:t>
            </w:r>
          </w:p>
        </w:tc>
        <w:tc>
          <w:tcPr>
            <w:tcW w:w="644" w:type="pct"/>
            <w:tcBorders>
              <w:top w:val="nil"/>
              <w:left w:val="nil"/>
              <w:bottom w:val="single" w:sz="4" w:space="0" w:color="auto"/>
              <w:right w:val="single" w:sz="4" w:space="0" w:color="auto"/>
            </w:tcBorders>
            <w:shd w:val="clear" w:color="auto" w:fill="auto"/>
            <w:noWrap/>
            <w:vAlign w:val="center"/>
          </w:tcPr>
          <w:p w14:paraId="0FDFA00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533,30 </w:t>
            </w:r>
          </w:p>
        </w:tc>
      </w:tr>
      <w:tr w:rsidR="00E878FB" w14:paraId="29861594" w14:textId="77777777" w:rsidTr="00156804">
        <w:trPr>
          <w:trHeight w:val="894"/>
        </w:trPr>
        <w:tc>
          <w:tcPr>
            <w:tcW w:w="289" w:type="pct"/>
            <w:tcBorders>
              <w:top w:val="nil"/>
              <w:left w:val="double" w:sz="6" w:space="0" w:color="auto"/>
              <w:bottom w:val="single" w:sz="4" w:space="0" w:color="auto"/>
              <w:right w:val="single" w:sz="4" w:space="0" w:color="auto"/>
            </w:tcBorders>
            <w:shd w:val="clear" w:color="auto" w:fill="auto"/>
            <w:vAlign w:val="center"/>
          </w:tcPr>
          <w:p w14:paraId="5AF5B61E"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71 </w:t>
            </w:r>
          </w:p>
        </w:tc>
        <w:tc>
          <w:tcPr>
            <w:tcW w:w="2789" w:type="pct"/>
            <w:tcBorders>
              <w:top w:val="nil"/>
              <w:left w:val="nil"/>
              <w:bottom w:val="single" w:sz="4" w:space="0" w:color="auto"/>
              <w:right w:val="single" w:sz="4" w:space="0" w:color="auto"/>
            </w:tcBorders>
            <w:shd w:val="clear" w:color="auto" w:fill="auto"/>
            <w:vAlign w:val="center"/>
          </w:tcPr>
          <w:p w14:paraId="1F5892F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VACINA PARA PROFILAXIA DA RAIVA DOS BOVINOS, OVINOS, CAPRINOS E EQUINOS, USO VETERINARIO, SUSPENSAO CONTENDO VIRUS FIXO PASTEUR INATIVADO PELO BEI E PRODUZIDO EM CULTIVO CELULAR, APRESENTACAO EM FRASCOS DE 50 ML, DEVIDAMENTE ACONDICIONADA EM RECIPIENTE ISOTERMICO E REFRIGERADO PARA MANUTENCAO DA TEMPERATURA ENTRE 2 E 8°C </w:t>
            </w:r>
          </w:p>
        </w:tc>
        <w:tc>
          <w:tcPr>
            <w:tcW w:w="389" w:type="pct"/>
            <w:tcBorders>
              <w:top w:val="nil"/>
              <w:left w:val="nil"/>
              <w:bottom w:val="single" w:sz="4" w:space="0" w:color="auto"/>
              <w:right w:val="single" w:sz="4" w:space="0" w:color="auto"/>
            </w:tcBorders>
            <w:shd w:val="clear" w:color="auto" w:fill="auto"/>
            <w:vAlign w:val="center"/>
          </w:tcPr>
          <w:p w14:paraId="240BB19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25</w:t>
            </w:r>
          </w:p>
        </w:tc>
        <w:tc>
          <w:tcPr>
            <w:tcW w:w="344" w:type="pct"/>
            <w:tcBorders>
              <w:top w:val="nil"/>
              <w:left w:val="nil"/>
              <w:bottom w:val="single" w:sz="4" w:space="0" w:color="auto"/>
              <w:right w:val="single" w:sz="4" w:space="0" w:color="auto"/>
            </w:tcBorders>
            <w:shd w:val="clear" w:color="auto" w:fill="auto"/>
            <w:vAlign w:val="center"/>
          </w:tcPr>
          <w:p w14:paraId="6FA8410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24D451BD"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53,33 </w:t>
            </w:r>
          </w:p>
        </w:tc>
        <w:tc>
          <w:tcPr>
            <w:tcW w:w="644" w:type="pct"/>
            <w:tcBorders>
              <w:top w:val="nil"/>
              <w:left w:val="nil"/>
              <w:bottom w:val="single" w:sz="4" w:space="0" w:color="auto"/>
              <w:right w:val="single" w:sz="4" w:space="0" w:color="auto"/>
            </w:tcBorders>
            <w:shd w:val="clear" w:color="auto" w:fill="auto"/>
            <w:noWrap/>
            <w:vAlign w:val="center"/>
          </w:tcPr>
          <w:p w14:paraId="0050743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1.333,25 </w:t>
            </w:r>
          </w:p>
        </w:tc>
      </w:tr>
      <w:tr w:rsidR="00E878FB" w14:paraId="67BA74CA" w14:textId="77777777" w:rsidTr="00156804">
        <w:trPr>
          <w:trHeight w:val="1988"/>
        </w:trPr>
        <w:tc>
          <w:tcPr>
            <w:tcW w:w="289" w:type="pct"/>
            <w:tcBorders>
              <w:top w:val="nil"/>
              <w:left w:val="double" w:sz="6" w:space="0" w:color="auto"/>
              <w:bottom w:val="single" w:sz="4" w:space="0" w:color="auto"/>
              <w:right w:val="single" w:sz="4" w:space="0" w:color="auto"/>
            </w:tcBorders>
            <w:shd w:val="clear" w:color="auto" w:fill="auto"/>
            <w:vAlign w:val="center"/>
          </w:tcPr>
          <w:p w14:paraId="17F694D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lastRenderedPageBreak/>
              <w:t>72 </w:t>
            </w:r>
          </w:p>
        </w:tc>
        <w:tc>
          <w:tcPr>
            <w:tcW w:w="2789" w:type="pct"/>
            <w:tcBorders>
              <w:top w:val="nil"/>
              <w:left w:val="nil"/>
              <w:bottom w:val="single" w:sz="4" w:space="0" w:color="auto"/>
              <w:right w:val="single" w:sz="4" w:space="0" w:color="auto"/>
            </w:tcBorders>
            <w:shd w:val="clear" w:color="auto" w:fill="auto"/>
            <w:vAlign w:val="center"/>
          </w:tcPr>
          <w:p w14:paraId="69B8448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VACINA PARA PROFILAXIA DE ENCEFALOMIELITE, RINOPNEUMONITE, INFLUENZA E TETANO DOS EQUINOS E EQUIDEOS, USO VETERINARIO SUSPENSAO CONTENDO VIRUS INATIVADOS POR BETAPROPILACTONA DE ENCEFALOMIELITE EQUINA LESTE E OESTE, INFLUENZA EQUINA CEPA A/EQUINE1/PRAGA/1/56, A/EQUINE/2/KENTUCKY/94, INFLUENZA EQ/2/SOUTH AFRICA 04/03 E HERPES VIRUS EQUINO TIPO 1 E 4, ADICIONADO DE TOXOIDE TETANICO E ADSORVIDOS POR GEL DE HIDROXIDO DE ALUMINIO. APRESENTACAO EM CAIXAS CONTENDO 5 FRASCO AMPOLA DE 3 ML CADA POR CAIXA (15 ML POR CAIXA), DEVIDAMENTE ACONDICIONADA EM RECIPIENTE ISOTERMICO E REFRIGERADO PARA MANUTENCAO DA TEMPERATURA ENTRE 2 E 8°C </w:t>
            </w:r>
          </w:p>
        </w:tc>
        <w:tc>
          <w:tcPr>
            <w:tcW w:w="389" w:type="pct"/>
            <w:tcBorders>
              <w:top w:val="nil"/>
              <w:left w:val="nil"/>
              <w:bottom w:val="single" w:sz="4" w:space="0" w:color="auto"/>
              <w:right w:val="single" w:sz="4" w:space="0" w:color="auto"/>
            </w:tcBorders>
            <w:shd w:val="clear" w:color="auto" w:fill="auto"/>
            <w:vAlign w:val="center"/>
          </w:tcPr>
          <w:p w14:paraId="5D29119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10</w:t>
            </w:r>
          </w:p>
        </w:tc>
        <w:tc>
          <w:tcPr>
            <w:tcW w:w="344" w:type="pct"/>
            <w:tcBorders>
              <w:top w:val="nil"/>
              <w:left w:val="nil"/>
              <w:bottom w:val="single" w:sz="4" w:space="0" w:color="auto"/>
              <w:right w:val="single" w:sz="4" w:space="0" w:color="auto"/>
            </w:tcBorders>
            <w:shd w:val="clear" w:color="auto" w:fill="auto"/>
            <w:vAlign w:val="center"/>
          </w:tcPr>
          <w:p w14:paraId="0B95541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CX</w:t>
            </w:r>
          </w:p>
        </w:tc>
        <w:tc>
          <w:tcPr>
            <w:tcW w:w="544" w:type="pct"/>
            <w:tcBorders>
              <w:top w:val="nil"/>
              <w:left w:val="nil"/>
              <w:bottom w:val="single" w:sz="4" w:space="0" w:color="auto"/>
              <w:right w:val="single" w:sz="4" w:space="0" w:color="auto"/>
            </w:tcBorders>
            <w:shd w:val="clear" w:color="auto" w:fill="auto"/>
            <w:noWrap/>
            <w:vAlign w:val="center"/>
          </w:tcPr>
          <w:p w14:paraId="7AC85FC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1.136,66 </w:t>
            </w:r>
          </w:p>
        </w:tc>
        <w:tc>
          <w:tcPr>
            <w:tcW w:w="644" w:type="pct"/>
            <w:tcBorders>
              <w:top w:val="nil"/>
              <w:left w:val="nil"/>
              <w:bottom w:val="single" w:sz="4" w:space="0" w:color="auto"/>
              <w:right w:val="single" w:sz="4" w:space="0" w:color="auto"/>
            </w:tcBorders>
            <w:shd w:val="clear" w:color="auto" w:fill="auto"/>
            <w:noWrap/>
            <w:vAlign w:val="center"/>
          </w:tcPr>
          <w:p w14:paraId="740E680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11.366,60 </w:t>
            </w:r>
          </w:p>
        </w:tc>
      </w:tr>
      <w:tr w:rsidR="00E878FB" w14:paraId="7E76D4B6" w14:textId="77777777" w:rsidTr="00156804">
        <w:trPr>
          <w:trHeight w:val="691"/>
        </w:trPr>
        <w:tc>
          <w:tcPr>
            <w:tcW w:w="289" w:type="pct"/>
            <w:tcBorders>
              <w:top w:val="nil"/>
              <w:left w:val="double" w:sz="6" w:space="0" w:color="auto"/>
              <w:bottom w:val="single" w:sz="4" w:space="0" w:color="auto"/>
              <w:right w:val="single" w:sz="4" w:space="0" w:color="auto"/>
            </w:tcBorders>
            <w:shd w:val="clear" w:color="auto" w:fill="auto"/>
            <w:vAlign w:val="center"/>
          </w:tcPr>
          <w:p w14:paraId="771F60E4"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73 </w:t>
            </w:r>
          </w:p>
        </w:tc>
        <w:tc>
          <w:tcPr>
            <w:tcW w:w="2789" w:type="pct"/>
            <w:tcBorders>
              <w:top w:val="nil"/>
              <w:left w:val="nil"/>
              <w:bottom w:val="single" w:sz="4" w:space="0" w:color="auto"/>
              <w:right w:val="single" w:sz="4" w:space="0" w:color="auto"/>
            </w:tcBorders>
            <w:shd w:val="clear" w:color="auto" w:fill="auto"/>
            <w:vAlign w:val="center"/>
          </w:tcPr>
          <w:p w14:paraId="09D5002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VERMÍFUGO ORAL CLOSANTEL (10%), USO VETERINÁRIO, SOLUÇÃO ORAL (CONCENTRAÇÃO DE CLOSANTEL DE 10%), COMPOSIÇÃO (POR 100 ML), CLOSANTEL SÓDICO 10,0 G, VEÍCULO Q.S.P.100,00 ML, APRESENTAÇÃO EM EMBALAGENS COM VOLUME PADRONIZADO DE 1,0 L, FRASCO (1 L) </w:t>
            </w:r>
          </w:p>
        </w:tc>
        <w:tc>
          <w:tcPr>
            <w:tcW w:w="389" w:type="pct"/>
            <w:tcBorders>
              <w:top w:val="nil"/>
              <w:left w:val="nil"/>
              <w:bottom w:val="single" w:sz="4" w:space="0" w:color="auto"/>
              <w:right w:val="single" w:sz="4" w:space="0" w:color="auto"/>
            </w:tcBorders>
            <w:shd w:val="clear" w:color="auto" w:fill="auto"/>
            <w:vAlign w:val="center"/>
          </w:tcPr>
          <w:p w14:paraId="4B74367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15</w:t>
            </w:r>
          </w:p>
        </w:tc>
        <w:tc>
          <w:tcPr>
            <w:tcW w:w="344" w:type="pct"/>
            <w:tcBorders>
              <w:top w:val="nil"/>
              <w:left w:val="nil"/>
              <w:bottom w:val="single" w:sz="4" w:space="0" w:color="auto"/>
              <w:right w:val="single" w:sz="4" w:space="0" w:color="auto"/>
            </w:tcBorders>
            <w:shd w:val="clear" w:color="auto" w:fill="auto"/>
            <w:vAlign w:val="center"/>
          </w:tcPr>
          <w:p w14:paraId="445AE3C0"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single" w:sz="4" w:space="0" w:color="auto"/>
              <w:right w:val="single" w:sz="4" w:space="0" w:color="auto"/>
            </w:tcBorders>
            <w:shd w:val="clear" w:color="auto" w:fill="auto"/>
            <w:noWrap/>
            <w:vAlign w:val="center"/>
          </w:tcPr>
          <w:p w14:paraId="6DE0192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328,00 </w:t>
            </w:r>
          </w:p>
        </w:tc>
        <w:tc>
          <w:tcPr>
            <w:tcW w:w="644" w:type="pct"/>
            <w:tcBorders>
              <w:top w:val="nil"/>
              <w:left w:val="nil"/>
              <w:bottom w:val="single" w:sz="4" w:space="0" w:color="auto"/>
              <w:right w:val="single" w:sz="4" w:space="0" w:color="auto"/>
            </w:tcBorders>
            <w:shd w:val="clear" w:color="auto" w:fill="auto"/>
            <w:noWrap/>
            <w:vAlign w:val="center"/>
          </w:tcPr>
          <w:p w14:paraId="49312C2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4.920,00 </w:t>
            </w:r>
          </w:p>
        </w:tc>
      </w:tr>
      <w:tr w:rsidR="00E878FB" w14:paraId="2CF41C46" w14:textId="77777777" w:rsidTr="00156804">
        <w:trPr>
          <w:trHeight w:val="465"/>
        </w:trPr>
        <w:tc>
          <w:tcPr>
            <w:tcW w:w="289" w:type="pct"/>
            <w:tcBorders>
              <w:top w:val="nil"/>
              <w:left w:val="double" w:sz="6" w:space="0" w:color="auto"/>
              <w:bottom w:val="double" w:sz="6" w:space="0" w:color="auto"/>
              <w:right w:val="single" w:sz="4" w:space="0" w:color="auto"/>
            </w:tcBorders>
            <w:shd w:val="clear" w:color="auto" w:fill="auto"/>
            <w:vAlign w:val="center"/>
          </w:tcPr>
          <w:p w14:paraId="2FCB4B72"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74 </w:t>
            </w:r>
          </w:p>
        </w:tc>
        <w:tc>
          <w:tcPr>
            <w:tcW w:w="2789" w:type="pct"/>
            <w:tcBorders>
              <w:top w:val="nil"/>
              <w:left w:val="nil"/>
              <w:bottom w:val="double" w:sz="6" w:space="0" w:color="auto"/>
              <w:right w:val="single" w:sz="4" w:space="0" w:color="auto"/>
            </w:tcBorders>
            <w:shd w:val="clear" w:color="auto" w:fill="auto"/>
            <w:vAlign w:val="center"/>
          </w:tcPr>
          <w:p w14:paraId="251A1BAC"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VIRKON S 500 G, SOLUÇÃO A 1%, 6 COMPONENTES BIOCIDAS, APROPRIADO PARA APLICAÇÃO NA PRESENÇA DE ANIMAIS </w:t>
            </w:r>
          </w:p>
        </w:tc>
        <w:tc>
          <w:tcPr>
            <w:tcW w:w="389" w:type="pct"/>
            <w:tcBorders>
              <w:top w:val="nil"/>
              <w:left w:val="nil"/>
              <w:bottom w:val="double" w:sz="6" w:space="0" w:color="auto"/>
              <w:right w:val="single" w:sz="4" w:space="0" w:color="auto"/>
            </w:tcBorders>
            <w:shd w:val="clear" w:color="auto" w:fill="auto"/>
            <w:vAlign w:val="center"/>
          </w:tcPr>
          <w:p w14:paraId="75A4655B"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50</w:t>
            </w:r>
          </w:p>
        </w:tc>
        <w:tc>
          <w:tcPr>
            <w:tcW w:w="344" w:type="pct"/>
            <w:tcBorders>
              <w:top w:val="nil"/>
              <w:left w:val="nil"/>
              <w:bottom w:val="single" w:sz="4" w:space="0" w:color="auto"/>
              <w:right w:val="single" w:sz="4" w:space="0" w:color="auto"/>
            </w:tcBorders>
            <w:shd w:val="clear" w:color="auto" w:fill="auto"/>
            <w:vAlign w:val="center"/>
          </w:tcPr>
          <w:p w14:paraId="3ED14606"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FR</w:t>
            </w:r>
          </w:p>
        </w:tc>
        <w:tc>
          <w:tcPr>
            <w:tcW w:w="544" w:type="pct"/>
            <w:tcBorders>
              <w:top w:val="nil"/>
              <w:left w:val="nil"/>
              <w:bottom w:val="double" w:sz="6" w:space="0" w:color="auto"/>
              <w:right w:val="single" w:sz="4" w:space="0" w:color="auto"/>
            </w:tcBorders>
            <w:shd w:val="clear" w:color="auto" w:fill="auto"/>
            <w:noWrap/>
            <w:vAlign w:val="center"/>
          </w:tcPr>
          <w:p w14:paraId="7D7838A8"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183,30 </w:t>
            </w:r>
          </w:p>
        </w:tc>
        <w:tc>
          <w:tcPr>
            <w:tcW w:w="644" w:type="pct"/>
            <w:tcBorders>
              <w:top w:val="nil"/>
              <w:left w:val="nil"/>
              <w:bottom w:val="double" w:sz="6" w:space="0" w:color="auto"/>
              <w:right w:val="single" w:sz="4" w:space="0" w:color="auto"/>
            </w:tcBorders>
            <w:shd w:val="clear" w:color="auto" w:fill="auto"/>
            <w:noWrap/>
            <w:vAlign w:val="center"/>
          </w:tcPr>
          <w:p w14:paraId="08227521" w14:textId="77777777" w:rsidR="00E878FB" w:rsidRDefault="00C43B83">
            <w:pPr>
              <w:jc w:val="center"/>
              <w:rPr>
                <w:rFonts w:ascii="Calibri" w:eastAsia="Times New Roman" w:hAnsi="Calibri" w:cs="Calibri"/>
                <w:color w:val="000000"/>
                <w:sz w:val="16"/>
                <w:szCs w:val="16"/>
              </w:rPr>
            </w:pPr>
            <w:r>
              <w:rPr>
                <w:rFonts w:ascii="Calibri" w:eastAsia="Times New Roman" w:hAnsi="Calibri" w:cs="Calibri"/>
                <w:color w:val="000000"/>
                <w:sz w:val="16"/>
                <w:szCs w:val="16"/>
              </w:rPr>
              <w:t xml:space="preserve">9.165,00 </w:t>
            </w:r>
          </w:p>
        </w:tc>
      </w:tr>
      <w:tr w:rsidR="00E878FB" w14:paraId="7C895858" w14:textId="77777777" w:rsidTr="00156804">
        <w:trPr>
          <w:trHeight w:val="255"/>
        </w:trPr>
        <w:tc>
          <w:tcPr>
            <w:tcW w:w="4356" w:type="pct"/>
            <w:gridSpan w:val="5"/>
            <w:tcBorders>
              <w:top w:val="double" w:sz="6" w:space="0" w:color="auto"/>
              <w:left w:val="double" w:sz="6" w:space="0" w:color="auto"/>
              <w:bottom w:val="double" w:sz="6" w:space="0" w:color="auto"/>
              <w:right w:val="double" w:sz="6" w:space="0" w:color="auto"/>
            </w:tcBorders>
            <w:shd w:val="clear" w:color="auto" w:fill="auto"/>
            <w:noWrap/>
            <w:vAlign w:val="center"/>
          </w:tcPr>
          <w:p w14:paraId="2BED867E" w14:textId="77777777" w:rsidR="00E878FB" w:rsidRDefault="00C43B83">
            <w:pPr>
              <w:jc w:val="center"/>
              <w:rPr>
                <w:rFonts w:ascii="Calibri" w:eastAsia="Times New Roman" w:hAnsi="Calibri" w:cs="Calibri"/>
                <w:b/>
                <w:bCs/>
                <w:color w:val="000000"/>
                <w:sz w:val="16"/>
                <w:szCs w:val="16"/>
              </w:rPr>
            </w:pPr>
            <w:r>
              <w:rPr>
                <w:rFonts w:ascii="Calibri" w:eastAsia="Times New Roman" w:hAnsi="Calibri" w:cs="Calibri"/>
                <w:b/>
                <w:bCs/>
                <w:color w:val="000000"/>
                <w:sz w:val="16"/>
                <w:szCs w:val="16"/>
              </w:rPr>
              <w:t>VALOR TOTAL ESTIMADO</w:t>
            </w:r>
          </w:p>
        </w:tc>
        <w:tc>
          <w:tcPr>
            <w:tcW w:w="644" w:type="pct"/>
            <w:tcBorders>
              <w:top w:val="nil"/>
              <w:left w:val="nil"/>
              <w:bottom w:val="double" w:sz="6" w:space="0" w:color="auto"/>
              <w:right w:val="double" w:sz="6" w:space="0" w:color="auto"/>
            </w:tcBorders>
            <w:shd w:val="clear" w:color="auto" w:fill="auto"/>
            <w:noWrap/>
            <w:vAlign w:val="center"/>
          </w:tcPr>
          <w:p w14:paraId="524D5A2D" w14:textId="77777777" w:rsidR="00E878FB" w:rsidRDefault="00C43B83">
            <w:pPr>
              <w:jc w:val="right"/>
              <w:rPr>
                <w:rFonts w:ascii="Calibri" w:eastAsia="Times New Roman" w:hAnsi="Calibri" w:cs="Calibri"/>
                <w:b/>
                <w:bCs/>
                <w:color w:val="000000"/>
                <w:sz w:val="16"/>
                <w:szCs w:val="16"/>
              </w:rPr>
            </w:pPr>
            <w:r>
              <w:rPr>
                <w:rFonts w:ascii="Calibri" w:eastAsia="Times New Roman" w:hAnsi="Calibri" w:cs="Calibri"/>
                <w:b/>
                <w:bCs/>
                <w:color w:val="000000"/>
                <w:sz w:val="16"/>
                <w:szCs w:val="16"/>
              </w:rPr>
              <w:t xml:space="preserve">1.524.928,37 </w:t>
            </w:r>
          </w:p>
        </w:tc>
      </w:tr>
    </w:tbl>
    <w:p w14:paraId="3C0F2CAB" w14:textId="77777777" w:rsidR="00E878FB" w:rsidRPr="00C43B83" w:rsidRDefault="00E878FB">
      <w:pPr>
        <w:pStyle w:val="Nivel2"/>
        <w:numPr>
          <w:ilvl w:val="0"/>
          <w:numId w:val="0"/>
        </w:numPr>
        <w:spacing w:afterLines="120" w:after="288" w:line="312" w:lineRule="auto"/>
        <w:rPr>
          <w:b/>
        </w:rPr>
      </w:pPr>
    </w:p>
    <w:p w14:paraId="2D3169F9" w14:textId="24EBACA8" w:rsidR="00E878FB" w:rsidRPr="00C43B83" w:rsidRDefault="00C43B83">
      <w:pPr>
        <w:pStyle w:val="Nivel2"/>
        <w:ind w:left="0" w:firstLine="0"/>
        <w:rPr>
          <w:b/>
        </w:rPr>
      </w:pPr>
      <w:r w:rsidRPr="00C43B83">
        <w:rPr>
          <w:b/>
        </w:rPr>
        <w:t xml:space="preserve">Para os itens 3, 4, 5, 6, 7, 8, 9, 10, 11, 12, 13, 14, 15, 16, 20, 23, 24, 25, 27, 30, 31, 32, 33, 34, 35, 36, 39, 40, 41, 42, 43, 46, 47, 48, 49, 50, 51, 52, 53, 54, 55, 56, 60, 61, 62, 63, 64, 65, 66, 67, 68, 69, 70, </w:t>
      </w:r>
      <w:r>
        <w:rPr>
          <w:b/>
        </w:rPr>
        <w:t>7</w:t>
      </w:r>
      <w:r w:rsidRPr="00C43B83">
        <w:rPr>
          <w:b/>
        </w:rPr>
        <w:t xml:space="preserve">1, </w:t>
      </w:r>
      <w:r>
        <w:rPr>
          <w:b/>
        </w:rPr>
        <w:t>7</w:t>
      </w:r>
      <w:r w:rsidRPr="00C43B83">
        <w:rPr>
          <w:b/>
        </w:rPr>
        <w:t xml:space="preserve">2, 73, 74: o produto deverá ser entregue embalado e rotulado, além de possuir registro no Ministério da Agricultura, Pecuária e Abastecimento do Brasil (MAPA) e validade mínima de 70 dias na data da entrega. As informações referentes à identificação da marca, lote, data de fabricação e validade e registro no MAPA deverão estar contidas externamente na embalagem. </w:t>
      </w:r>
    </w:p>
    <w:p w14:paraId="37205CBD" w14:textId="77777777" w:rsidR="00A04C93" w:rsidRDefault="00C43B83" w:rsidP="00A04C93">
      <w:pPr>
        <w:pStyle w:val="Nivel2"/>
        <w:ind w:left="0" w:firstLine="0"/>
        <w:rPr>
          <w:b/>
        </w:rPr>
      </w:pPr>
      <w:r w:rsidRPr="00C43B83">
        <w:rPr>
          <w:b/>
        </w:rPr>
        <w:t>Para os produtos isentos de registo no Ministério da Agricultura, Pecuária e Abastecimento do Brasil (MAPA), deverão ter suas fórmulas, rótulos e embalagens aprovados por responsável técnico conforme Instrução Normativa do Ministério da Agricultura, Pecuária e Abastecimento do Brasil nº 51, de 3 de Agosto de 2020.</w:t>
      </w:r>
    </w:p>
    <w:p w14:paraId="3A489A84" w14:textId="74032145" w:rsidR="00E878FB" w:rsidRPr="00A04C93" w:rsidRDefault="00965B5C" w:rsidP="00A04C93">
      <w:pPr>
        <w:pStyle w:val="Nivel2"/>
        <w:ind w:left="0" w:firstLine="0"/>
        <w:rPr>
          <w:b/>
        </w:rPr>
      </w:pPr>
      <w:r w:rsidRPr="00A04C93">
        <w:rPr>
          <w:b/>
        </w:rPr>
        <w:t xml:space="preserve">As empresas vencedoras deverão apresentar Registro no Sistema Integrado de Produtos e Estabelecimentos Agropecuários - SIPEAGRO, do estabelecimento e de seu responsável técnico, no que couber, de acordo com o Decreto Federal 5.053/2004 e Instruções Normativas MAPA nº 34, de 23/10/2015 </w:t>
      </w:r>
      <w:r w:rsidR="0026700B" w:rsidRPr="00A04C93">
        <w:rPr>
          <w:b/>
        </w:rPr>
        <w:t xml:space="preserve">e </w:t>
      </w:r>
      <w:r w:rsidRPr="00A04C93">
        <w:rPr>
          <w:b/>
        </w:rPr>
        <w:t>nº 35, de 11/09/2017</w:t>
      </w:r>
      <w:r w:rsidR="0026700B" w:rsidRPr="00A04C93">
        <w:rPr>
          <w:b/>
        </w:rPr>
        <w:t>.</w:t>
      </w:r>
    </w:p>
    <w:p w14:paraId="0E5C98F7" w14:textId="77777777" w:rsidR="00E878FB" w:rsidRDefault="00E878FB">
      <w:pPr>
        <w:jc w:val="both"/>
        <w:rPr>
          <w:rFonts w:ascii="Arial" w:hAnsi="Arial" w:cs="Arial"/>
          <w:sz w:val="22"/>
          <w:szCs w:val="22"/>
        </w:rPr>
      </w:pPr>
    </w:p>
    <w:p w14:paraId="1164FB7F" w14:textId="77777777" w:rsidR="00E878FB" w:rsidRDefault="00C43B83">
      <w:pPr>
        <w:pStyle w:val="Nivel2"/>
        <w:spacing w:afterLines="120" w:after="288" w:line="312" w:lineRule="auto"/>
        <w:ind w:left="0" w:hanging="6"/>
      </w:pPr>
      <w:r>
        <w:t>O objeto desta contratação não se enquadra como sendo de bem de luxo, conforme Decreto nº 10.818, de 27 de setembro de 2021.</w:t>
      </w:r>
    </w:p>
    <w:p w14:paraId="6A1100B7" w14:textId="77777777" w:rsidR="00E878FB" w:rsidRDefault="00C43B83">
      <w:pPr>
        <w:pStyle w:val="Nivel2"/>
        <w:spacing w:afterLines="120" w:after="288" w:line="312" w:lineRule="auto"/>
        <w:ind w:left="0" w:hanging="6"/>
      </w:pPr>
      <w:r>
        <w:t>Os bens objeto desta contratação são caracterizados como comuns, conforme justificativa constante do Estudo Técnico Preliminar.</w:t>
      </w:r>
    </w:p>
    <w:p w14:paraId="2955548F" w14:textId="77777777" w:rsidR="00E878FB" w:rsidRDefault="00C43B83">
      <w:pPr>
        <w:pStyle w:val="Nivel2"/>
        <w:spacing w:afterLines="120" w:after="288" w:line="312" w:lineRule="auto"/>
        <w:ind w:left="0" w:hanging="6"/>
      </w:pPr>
      <w:r>
        <w:t>O prazo de vigência da contratação é de 12 (doze) meses, contados da assinatura da Ata de Registro de Preços, na forma do artigo 105 da Lei n° 14.133, de 2021.</w:t>
      </w:r>
    </w:p>
    <w:p w14:paraId="4999B0E4" w14:textId="77777777" w:rsidR="00E878FB" w:rsidRDefault="00C43B83">
      <w:pPr>
        <w:pStyle w:val="Nivel01"/>
        <w:spacing w:before="120" w:afterLines="120" w:after="288" w:line="312" w:lineRule="auto"/>
        <w:ind w:left="0" w:firstLine="0"/>
      </w:pPr>
      <w:r>
        <w:t>FUNDAMENTAÇÃO E DESCRIÇÃO DA NECESSIDADE DA CONTRATAÇÃO</w:t>
      </w:r>
    </w:p>
    <w:p w14:paraId="2823E47C" w14:textId="77777777" w:rsidR="00E878FB" w:rsidRDefault="00C43B83">
      <w:pPr>
        <w:pStyle w:val="Nivel2"/>
        <w:spacing w:afterLines="120" w:after="288" w:line="312" w:lineRule="auto"/>
        <w:ind w:left="0" w:firstLine="0"/>
      </w:pPr>
      <w:r>
        <w:t>A Fundamentação da Contratação e de seus quantitativos encontra-se pormenorizada em Tópico específico dos Estudos Técnicos Preliminares, apêndice deste Termo de Referência.</w:t>
      </w:r>
    </w:p>
    <w:p w14:paraId="040131BB" w14:textId="77777777" w:rsidR="00E878FB" w:rsidRDefault="00C43B83">
      <w:pPr>
        <w:pStyle w:val="Nivel2"/>
        <w:spacing w:afterLines="120" w:after="288" w:line="312" w:lineRule="auto"/>
        <w:ind w:left="0" w:firstLine="0"/>
      </w:pPr>
      <w:r>
        <w:t xml:space="preserve">O objeto da contratação está previsto no Plano de Contratações </w:t>
      </w:r>
      <w:r>
        <w:rPr>
          <w:color w:val="auto"/>
        </w:rPr>
        <w:t xml:space="preserve">Anual 2025, conforme </w:t>
      </w:r>
      <w:r>
        <w:t>detalhamento a seguir:</w:t>
      </w:r>
    </w:p>
    <w:p w14:paraId="3CDD8DC1" w14:textId="77777777" w:rsidR="00E878FB" w:rsidRDefault="00C43B83">
      <w:pPr>
        <w:pStyle w:val="Nivel3"/>
        <w:numPr>
          <w:ilvl w:val="0"/>
          <w:numId w:val="5"/>
        </w:numPr>
        <w:spacing w:afterLines="120" w:after="288" w:line="312" w:lineRule="auto"/>
        <w:ind w:left="170" w:firstLine="709"/>
        <w:contextualSpacing/>
        <w:rPr>
          <w:color w:val="auto"/>
        </w:rPr>
      </w:pPr>
      <w:r>
        <w:t>ID PCA no PNCP: 21186804000105-0-000001/2025</w:t>
      </w:r>
    </w:p>
    <w:p w14:paraId="1A93EF25" w14:textId="77777777" w:rsidR="00E878FB" w:rsidRDefault="00C43B83">
      <w:pPr>
        <w:pStyle w:val="Nivel3"/>
        <w:numPr>
          <w:ilvl w:val="0"/>
          <w:numId w:val="5"/>
        </w:numPr>
        <w:spacing w:afterLines="120" w:after="288" w:line="312" w:lineRule="auto"/>
        <w:ind w:left="170" w:firstLine="709"/>
        <w:contextualSpacing/>
      </w:pPr>
      <w:r>
        <w:t>Data de publicação no PNCP: 22/04/2024</w:t>
      </w:r>
    </w:p>
    <w:p w14:paraId="384A239A" w14:textId="77777777" w:rsidR="00E878FB" w:rsidRDefault="00C43B83">
      <w:pPr>
        <w:pStyle w:val="Nivel3"/>
        <w:numPr>
          <w:ilvl w:val="0"/>
          <w:numId w:val="5"/>
        </w:numPr>
        <w:spacing w:afterLines="120" w:after="288" w:line="312" w:lineRule="auto"/>
        <w:ind w:left="170" w:firstLine="709"/>
        <w:contextualSpacing/>
      </w:pPr>
      <w:r>
        <w:t>Id do item no PCA: 175, 176, 177 e 178</w:t>
      </w:r>
    </w:p>
    <w:p w14:paraId="0F449786" w14:textId="77777777" w:rsidR="00E878FB" w:rsidRDefault="00C43B83">
      <w:pPr>
        <w:pStyle w:val="Nivel3"/>
        <w:numPr>
          <w:ilvl w:val="0"/>
          <w:numId w:val="5"/>
        </w:numPr>
        <w:spacing w:afterLines="120" w:after="288" w:line="312" w:lineRule="auto"/>
        <w:ind w:left="170" w:firstLine="709"/>
        <w:contextualSpacing/>
      </w:pPr>
      <w:r>
        <w:lastRenderedPageBreak/>
        <w:t>Classe/Grupo: 6509, 8710, 8820 e 8955</w:t>
      </w:r>
    </w:p>
    <w:p w14:paraId="5575BB95" w14:textId="77777777" w:rsidR="00E878FB" w:rsidRDefault="00C43B83">
      <w:pPr>
        <w:pStyle w:val="Nivel3"/>
        <w:numPr>
          <w:ilvl w:val="0"/>
          <w:numId w:val="5"/>
        </w:numPr>
        <w:spacing w:afterLines="120" w:after="288" w:line="312" w:lineRule="auto"/>
        <w:ind w:left="170" w:firstLine="709"/>
        <w:contextualSpacing/>
      </w:pPr>
      <w:r>
        <w:t>Identificador da Futura Contratação: 154069-10/2025.</w:t>
      </w:r>
    </w:p>
    <w:p w14:paraId="20AA1D0C" w14:textId="77777777" w:rsidR="00E878FB" w:rsidRDefault="00C43B83">
      <w:pPr>
        <w:pStyle w:val="Nivel01"/>
        <w:spacing w:before="120" w:afterLines="120" w:after="288" w:line="312" w:lineRule="auto"/>
        <w:ind w:left="0" w:firstLine="0"/>
      </w:pPr>
      <w:r>
        <w:t>DESCRIÇÃO DA SOLUÇÃO COMO UM TODO CONSIDERADO O CICLO DE VIDA DO OBJETO E ESPECIFICAÇÃO DO PRODUTO</w:t>
      </w:r>
    </w:p>
    <w:p w14:paraId="392907A3" w14:textId="77777777" w:rsidR="00E878FB" w:rsidRDefault="00C43B83">
      <w:pPr>
        <w:pStyle w:val="Nvel2-Red"/>
        <w:spacing w:afterLines="120" w:after="288" w:line="312" w:lineRule="auto"/>
        <w:ind w:left="0" w:hanging="6"/>
        <w:rPr>
          <w:i w:val="0"/>
          <w:color w:val="auto"/>
        </w:rPr>
      </w:pPr>
      <w:r>
        <w:rPr>
          <w:i w:val="0"/>
          <w:color w:val="auto"/>
        </w:rPr>
        <w:t>A descrição da solução como um todo encontra-se pormenorizada em tópico específico dos Estudos Técnicos Preliminares, apêndice deste Termo de Referência.</w:t>
      </w:r>
    </w:p>
    <w:p w14:paraId="7616CD7B" w14:textId="77777777" w:rsidR="00E878FB" w:rsidRDefault="00C43B83">
      <w:pPr>
        <w:pStyle w:val="Nivel01"/>
        <w:spacing w:before="120" w:afterLines="120" w:after="288" w:line="312" w:lineRule="auto"/>
      </w:pPr>
      <w:r>
        <w:t>REQUISITOS DA CONTRATAÇÃO</w:t>
      </w:r>
    </w:p>
    <w:p w14:paraId="63D5DCA5" w14:textId="77777777" w:rsidR="00E878FB" w:rsidRDefault="00C43B83">
      <w:pPr>
        <w:pStyle w:val="Nvel3-R"/>
        <w:numPr>
          <w:ilvl w:val="0"/>
          <w:numId w:val="0"/>
        </w:numPr>
        <w:spacing w:afterLines="120" w:after="288" w:line="312" w:lineRule="auto"/>
        <w:rPr>
          <w:b/>
          <w:bCs/>
          <w:i w:val="0"/>
          <w:color w:val="auto"/>
        </w:rPr>
      </w:pPr>
      <w:r>
        <w:rPr>
          <w:b/>
          <w:bCs/>
          <w:i w:val="0"/>
          <w:color w:val="auto"/>
        </w:rPr>
        <w:t>Sustentabilidade:</w:t>
      </w:r>
    </w:p>
    <w:p w14:paraId="1E7E949D" w14:textId="77777777" w:rsidR="00E878FB" w:rsidRDefault="00C43B83">
      <w:pPr>
        <w:pStyle w:val="Nivel2"/>
        <w:spacing w:afterLines="120" w:after="288" w:line="312" w:lineRule="auto"/>
        <w:ind w:left="0" w:hanging="6"/>
        <w:rPr>
          <w:iCs/>
          <w:color w:val="auto"/>
          <w:shd w:val="clear" w:color="auto" w:fill="FFFFFF"/>
        </w:rPr>
      </w:pPr>
      <w:r>
        <w:rPr>
          <w:iCs/>
          <w:color w:val="auto"/>
        </w:rPr>
        <w:t>Além dos critérios de sustentabilidade eventualmente inseridos na descrição do objeto, devem ser atendidos os seguintes requisitos, que se baseiam no Guia Nacional de Contratações Sustentáveis:</w:t>
      </w:r>
    </w:p>
    <w:p w14:paraId="7918095F" w14:textId="77777777" w:rsidR="00E878FB" w:rsidRDefault="00C43B83">
      <w:pPr>
        <w:pStyle w:val="Nvel3-R"/>
        <w:spacing w:afterLines="120" w:after="288" w:line="312" w:lineRule="auto"/>
        <w:ind w:left="170" w:firstLine="709"/>
        <w:rPr>
          <w:i w:val="0"/>
          <w:color w:val="auto"/>
          <w:shd w:val="clear" w:color="auto" w:fill="FFFFFF"/>
        </w:rPr>
      </w:pPr>
      <w:r>
        <w:rPr>
          <w:i w:val="0"/>
          <w:color w:val="auto"/>
        </w:rPr>
        <w:t xml:space="preserve">Bens constituídos, no todo ou em parte, por material reciclado, atóxico, biodegradável, conforme ABNT NBR – 15448-1 e 15448-2; </w:t>
      </w:r>
    </w:p>
    <w:p w14:paraId="2A2C8683" w14:textId="77777777" w:rsidR="00E878FB" w:rsidRDefault="00C43B83">
      <w:pPr>
        <w:pStyle w:val="Nvel3-R"/>
        <w:spacing w:afterLines="120" w:after="288" w:line="312" w:lineRule="auto"/>
        <w:ind w:left="170" w:firstLine="709"/>
        <w:rPr>
          <w:i w:val="0"/>
          <w:color w:val="auto"/>
          <w:shd w:val="clear" w:color="auto" w:fill="FFFFFF"/>
        </w:rPr>
      </w:pPr>
      <w:r>
        <w:rPr>
          <w:i w:val="0"/>
          <w:color w:val="auto"/>
        </w:rPr>
        <w:t xml:space="preserve">Observância aos requisitos ambientais para a obtenção de certificação do instituto nacional de metrologia, normalização e qualidade industrial – INMETRO como produtos sustentáveis ou de menor impacto ambiental em relação aos seus similares; </w:t>
      </w:r>
    </w:p>
    <w:p w14:paraId="093112F4" w14:textId="77777777" w:rsidR="00E878FB" w:rsidRDefault="00C43B83">
      <w:pPr>
        <w:pStyle w:val="Nvel3-R"/>
        <w:spacing w:afterLines="120" w:after="288" w:line="312" w:lineRule="auto"/>
        <w:ind w:left="170" w:firstLine="709"/>
        <w:rPr>
          <w:i w:val="0"/>
          <w:color w:val="auto"/>
        </w:rPr>
      </w:pPr>
      <w:r>
        <w:rPr>
          <w:i w:val="0"/>
          <w:color w:val="auto"/>
        </w:rPr>
        <w:t>Os bens devem ser, preferencialmente, acondicionados em embalagem individual adequada, com o menor volume possível, que utilize materiais recicláveis, de forma a garantir a máxima proteção durante o transporte e o armazenamento;</w:t>
      </w:r>
    </w:p>
    <w:p w14:paraId="3AB0D96E" w14:textId="77777777" w:rsidR="00E878FB" w:rsidRDefault="00C43B83">
      <w:pPr>
        <w:pStyle w:val="Nvel3-R"/>
        <w:spacing w:afterLines="120" w:after="288" w:line="312" w:lineRule="auto"/>
        <w:ind w:left="170" w:firstLine="709"/>
        <w:rPr>
          <w:i w:val="0"/>
          <w:color w:val="auto"/>
        </w:rPr>
      </w:pPr>
      <w:r>
        <w:rPr>
          <w:i w:val="0"/>
          <w:color w:val="auto"/>
        </w:rPr>
        <w:t>Bens que não contenham substâncias perigosas em concentração acima da recomendada na diretiva RoHS (Restriction of Certain Hazardous Substances), tais como mercúrio (Hg), chumbo (Pb), cromo hexavalente (Cr (VI)), cádmio (Cd), bifenilpolibromados (PBBs), éteres difenil-polibromados (PBDEs).</w:t>
      </w:r>
    </w:p>
    <w:p w14:paraId="2D92330B" w14:textId="77777777" w:rsidR="00E878FB" w:rsidRDefault="00C43B83">
      <w:pPr>
        <w:pStyle w:val="Nvel1-SemNum"/>
        <w:tabs>
          <w:tab w:val="clear" w:pos="567"/>
          <w:tab w:val="left" w:pos="0"/>
        </w:tabs>
        <w:spacing w:before="120" w:afterLines="120" w:after="288" w:line="312" w:lineRule="auto"/>
        <w:ind w:left="0"/>
        <w:rPr>
          <w:color w:val="auto"/>
        </w:rPr>
      </w:pPr>
      <w:r>
        <w:rPr>
          <w:color w:val="auto"/>
        </w:rPr>
        <w:t>Subcontratação</w:t>
      </w:r>
    </w:p>
    <w:p w14:paraId="5CBCFDEB" w14:textId="77777777" w:rsidR="00E878FB" w:rsidRDefault="00C43B83">
      <w:pPr>
        <w:pStyle w:val="Nivel2"/>
        <w:tabs>
          <w:tab w:val="left" w:pos="426"/>
        </w:tabs>
        <w:spacing w:afterLines="120" w:after="288" w:line="312" w:lineRule="auto"/>
        <w:ind w:left="0" w:firstLine="0"/>
        <w:rPr>
          <w:iCs/>
          <w:color w:val="auto"/>
        </w:rPr>
      </w:pPr>
      <w:r>
        <w:rPr>
          <w:iCs/>
          <w:color w:val="auto"/>
        </w:rPr>
        <w:t>Não é admitida a subcontratação do objeto contratual.</w:t>
      </w:r>
    </w:p>
    <w:p w14:paraId="596600CD" w14:textId="77777777" w:rsidR="00E878FB" w:rsidRDefault="00C43B83">
      <w:pPr>
        <w:pStyle w:val="Nvel1-SemNum"/>
        <w:spacing w:before="120" w:afterLines="120" w:after="288" w:line="312" w:lineRule="auto"/>
        <w:ind w:left="0"/>
        <w:rPr>
          <w:color w:val="auto"/>
        </w:rPr>
      </w:pPr>
      <w:r>
        <w:rPr>
          <w:color w:val="auto"/>
        </w:rPr>
        <w:t>Garantia da contratação</w:t>
      </w:r>
    </w:p>
    <w:p w14:paraId="3939AFE9" w14:textId="77777777" w:rsidR="00E878FB" w:rsidRDefault="00C43B83">
      <w:pPr>
        <w:pStyle w:val="Nvel2-Red"/>
        <w:spacing w:afterLines="120" w:after="288" w:line="312" w:lineRule="auto"/>
        <w:ind w:left="0" w:firstLine="0"/>
        <w:rPr>
          <w:i w:val="0"/>
          <w:color w:val="auto"/>
        </w:rPr>
      </w:pPr>
      <w:r>
        <w:rPr>
          <w:i w:val="0"/>
          <w:color w:val="auto"/>
        </w:rPr>
        <w:t xml:space="preserve">Não haverá exigência da garantia da contratação dos </w:t>
      </w:r>
      <w:hyperlink r:id="rId48" w:anchor="art96" w:history="1">
        <w:r>
          <w:rPr>
            <w:rStyle w:val="Hyperlink"/>
            <w:i w:val="0"/>
            <w:color w:val="auto"/>
          </w:rPr>
          <w:t>artigos 96 e seguintes da Lei nº 14.133, de 2021</w:t>
        </w:r>
      </w:hyperlink>
      <w:r>
        <w:rPr>
          <w:i w:val="0"/>
          <w:color w:val="auto"/>
        </w:rPr>
        <w:t>, pelas razões constantes do Estudo Técnico Preliminar.</w:t>
      </w:r>
    </w:p>
    <w:p w14:paraId="751E45A6" w14:textId="77777777" w:rsidR="00E878FB" w:rsidRDefault="00C43B83">
      <w:pPr>
        <w:pStyle w:val="Nvel2-Red"/>
        <w:numPr>
          <w:ilvl w:val="0"/>
          <w:numId w:val="0"/>
        </w:numPr>
        <w:rPr>
          <w:b/>
          <w:i w:val="0"/>
          <w:color w:val="auto"/>
        </w:rPr>
      </w:pPr>
      <w:r>
        <w:rPr>
          <w:b/>
          <w:i w:val="0"/>
          <w:color w:val="auto"/>
        </w:rPr>
        <w:t>Reserva de cotas para microempresas e empresas de pequeno porte:</w:t>
      </w:r>
    </w:p>
    <w:p w14:paraId="2562E080" w14:textId="77777777" w:rsidR="00E878FB" w:rsidRDefault="00C43B83">
      <w:pPr>
        <w:pStyle w:val="Nivel2"/>
        <w:ind w:left="0" w:firstLine="0"/>
        <w:rPr>
          <w:i/>
        </w:rPr>
      </w:pPr>
      <w:r>
        <w:t>Na presente licitação, será realizada a reserva de cota de até vinte e cinco por cento do objeto para a contratação de microempresas e empresas de pequeno porte.</w:t>
      </w:r>
    </w:p>
    <w:p w14:paraId="5D4B5741" w14:textId="77777777" w:rsidR="00E878FB" w:rsidRDefault="00C43B83">
      <w:pPr>
        <w:pStyle w:val="Nivel3"/>
        <w:ind w:left="709" w:firstLine="0"/>
        <w:rPr>
          <w:i/>
          <w:color w:val="auto"/>
        </w:rPr>
      </w:pPr>
      <w:r>
        <w:rPr>
          <w:color w:val="auto"/>
        </w:rPr>
        <w:t>Na hipótese de não haver vencedor para a cota reservada, esta poderá ser adjudicada ao vencedor da cota principal ou, diante de sua recusa, aos fornecedores remanescentes, desde que pratiquem o preço do primeiro colocado da cota principal.</w:t>
      </w:r>
    </w:p>
    <w:p w14:paraId="2E5F40C4" w14:textId="77777777" w:rsidR="00E878FB" w:rsidRDefault="00C43B83">
      <w:pPr>
        <w:pStyle w:val="Nivel3"/>
        <w:ind w:left="709" w:firstLine="0"/>
        <w:rPr>
          <w:i/>
          <w:color w:val="auto"/>
        </w:rPr>
      </w:pPr>
      <w:r>
        <w:rPr>
          <w:color w:val="auto"/>
        </w:rPr>
        <w:t>Se a mesma empresa vencer a cota reservada e a cota principal, a contratação das cotas deverá ocorrer pelo menor preço.</w:t>
      </w:r>
    </w:p>
    <w:p w14:paraId="1744651D" w14:textId="77777777" w:rsidR="00E878FB" w:rsidRDefault="00C43B83">
      <w:pPr>
        <w:pStyle w:val="Nivel3"/>
        <w:ind w:left="709" w:firstLine="0"/>
        <w:rPr>
          <w:i/>
          <w:color w:val="auto"/>
        </w:rPr>
      </w:pPr>
      <w:r>
        <w:rPr>
          <w:color w:val="auto"/>
        </w:rPr>
        <w:lastRenderedPageBreak/>
        <w:t>Será dada a prioridade de aquisição aos produtos das cotas reservadas quando forem adjudicados aos licitantes qualificados como microempresas ou empresas de pequeno porte, ressalvados os casos em que a cota reservada for inadequada para atender as quantidades ou as condições do pedido, conforme vier a ser decidido pela Administração, nos termos do art. 8º, §4º, do Decreto n. 8.538, de 2015.</w:t>
      </w:r>
    </w:p>
    <w:p w14:paraId="35E7CF12" w14:textId="77777777" w:rsidR="00E878FB" w:rsidRDefault="00C43B83">
      <w:pPr>
        <w:pStyle w:val="Nivel01"/>
        <w:spacing w:before="120" w:afterLines="120" w:after="288" w:line="312" w:lineRule="auto"/>
      </w:pPr>
      <w:r>
        <w:t>MODELO DE EXECUÇÃO DO OBJETO</w:t>
      </w:r>
    </w:p>
    <w:p w14:paraId="18FFAE99" w14:textId="77777777" w:rsidR="00E878FB" w:rsidRDefault="00C43B83">
      <w:pPr>
        <w:pStyle w:val="Nvel1-SemNum"/>
        <w:spacing w:before="120" w:afterLines="120" w:after="288" w:line="312" w:lineRule="auto"/>
        <w:ind w:left="0"/>
        <w:rPr>
          <w:color w:val="000000" w:themeColor="text1"/>
        </w:rPr>
      </w:pPr>
      <w:r>
        <w:rPr>
          <w:color w:val="000000" w:themeColor="text1"/>
        </w:rPr>
        <w:t>Condições de Entrega</w:t>
      </w:r>
    </w:p>
    <w:p w14:paraId="23D9DAE2" w14:textId="77777777" w:rsidR="00E878FB" w:rsidRDefault="00C43B83">
      <w:pPr>
        <w:pStyle w:val="Nvel2-Red"/>
        <w:spacing w:afterLines="120" w:after="288" w:line="312" w:lineRule="auto"/>
        <w:ind w:left="0" w:firstLine="0"/>
      </w:pPr>
      <w:r>
        <w:rPr>
          <w:i w:val="0"/>
          <w:color w:val="auto"/>
        </w:rPr>
        <w:t xml:space="preserve">O prazo de entrega dos bens é de 15 (quinze) dias, contados do recebimento da nota de empenho, em remessa única ou parcelada. </w:t>
      </w:r>
    </w:p>
    <w:p w14:paraId="77AEC586" w14:textId="77777777" w:rsidR="00E878FB" w:rsidRDefault="00C43B83">
      <w:pPr>
        <w:pStyle w:val="Nvel2-Red"/>
        <w:spacing w:afterLines="120" w:after="288" w:line="312" w:lineRule="auto"/>
        <w:ind w:left="0" w:firstLine="0"/>
        <w:rPr>
          <w:i w:val="0"/>
          <w:color w:val="auto"/>
        </w:rPr>
      </w:pPr>
      <w:r>
        <w:rPr>
          <w:i w:val="0"/>
          <w:color w:val="auto"/>
        </w:rPr>
        <w:t>Caso não seja possível a entrega na data assinalada, a empresa deverá comunicar as razões respectivas com pelo menos 2 (dois) dias de antecedência para que qualquer pleito de prorrogação de prazo seja analisado, ressalvadas situações de caso fortuito e força maior.</w:t>
      </w:r>
    </w:p>
    <w:p w14:paraId="06DC9314" w14:textId="77777777" w:rsidR="00E878FB" w:rsidRDefault="00C43B83">
      <w:pPr>
        <w:pStyle w:val="Nivel2"/>
        <w:spacing w:afterLines="120" w:after="288" w:line="312" w:lineRule="auto"/>
        <w:ind w:left="0" w:firstLine="0"/>
      </w:pPr>
      <w:r>
        <w:t>Os bens deverão ser entregues nos seguintes endereços:</w:t>
      </w:r>
    </w:p>
    <w:p w14:paraId="5703213C" w14:textId="77777777" w:rsidR="00E878FB" w:rsidRDefault="00C43B83">
      <w:pPr>
        <w:pStyle w:val="Nivel3"/>
        <w:ind w:left="0" w:firstLine="851"/>
        <w:rPr>
          <w:color w:val="auto"/>
        </w:rPr>
      </w:pPr>
      <w:r>
        <w:rPr>
          <w:color w:val="auto"/>
        </w:rPr>
        <w:t>Campus Santo Antônio – CSA, à Praça Frei Orlando, 170, Centro, em São João del-Rei/MG, CEP 36.307-352, no horário das 08h30min às 11h30min e de 14h às 17h, sendo o frete, carga e descarga por conta do fornecedor até o local indicado pelo Setor de Almoxarifado.</w:t>
      </w:r>
    </w:p>
    <w:p w14:paraId="2E1ED2C4" w14:textId="77777777" w:rsidR="00E878FB" w:rsidRDefault="00C43B83">
      <w:pPr>
        <w:pStyle w:val="Nivel3"/>
        <w:ind w:left="0" w:firstLine="851"/>
        <w:rPr>
          <w:color w:val="auto"/>
        </w:rPr>
      </w:pPr>
      <w:r>
        <w:rPr>
          <w:color w:val="auto"/>
        </w:rPr>
        <w:t>Campus Alto Paraopeba – CAP, à Rodovia MG 443, Km 7, em Ouro Branco/MG, CEP 36.402-000, no horário das 08h30min às 11h30min e de 14h às 17h, sendo o frete, carga e descarga por conta do fornecedor até o local indicado pelo Setor de Almoxarifado.</w:t>
      </w:r>
    </w:p>
    <w:p w14:paraId="6F88661E" w14:textId="77777777" w:rsidR="00E878FB" w:rsidRDefault="00C43B83">
      <w:pPr>
        <w:pStyle w:val="Nivel3"/>
        <w:ind w:left="0" w:firstLine="851"/>
        <w:rPr>
          <w:color w:val="auto"/>
        </w:rPr>
      </w:pPr>
      <w:r>
        <w:rPr>
          <w:color w:val="auto"/>
        </w:rPr>
        <w:t>Campus Centro Oeste Dona Lindu – CCO, à Rua Sebastião Gonçalves Coelho, 400, Chanadour, em Divinópolis/MG, CEP 35.501-296, no horário das 08h30min às 11h30min e de 14h às 17h, sendo o frete, carga e descarga por conta do fornecedor até o local indicado pelo Setor de Almoxarifado.</w:t>
      </w:r>
    </w:p>
    <w:p w14:paraId="5EC28096" w14:textId="77777777" w:rsidR="00E878FB" w:rsidRDefault="00C43B83">
      <w:pPr>
        <w:pStyle w:val="Nivel3"/>
        <w:ind w:left="0" w:firstLine="851"/>
        <w:rPr>
          <w:color w:val="auto"/>
        </w:rPr>
      </w:pPr>
      <w:r>
        <w:rPr>
          <w:color w:val="auto"/>
        </w:rPr>
        <w:t>Campus Sete Lagoas – CSL, à Rodovia MG 424, Km 47, em Sete Lagoas/MG, CEP 35.701-970, no horário das 08h30min às 11h30min e de 14h às 17h, sendo o frete, carga e descarga por conta do fornecedor até o local indicado pelo Setor de Almoxarifado.</w:t>
      </w:r>
    </w:p>
    <w:p w14:paraId="66CBE5B6" w14:textId="77777777" w:rsidR="00E878FB" w:rsidRDefault="00C43B83">
      <w:pPr>
        <w:pStyle w:val="Nivel2"/>
        <w:spacing w:afterLines="120" w:after="288" w:line="312" w:lineRule="auto"/>
        <w:ind w:left="0" w:firstLine="0"/>
      </w:pPr>
      <w:r>
        <w:t>O local de entrega será indicado no envio da nota de empenho.</w:t>
      </w:r>
    </w:p>
    <w:p w14:paraId="3738748C" w14:textId="77777777" w:rsidR="00E878FB" w:rsidRDefault="00C43B83">
      <w:pPr>
        <w:pStyle w:val="Nvel1-SemNum"/>
        <w:spacing w:before="120" w:afterLines="120" w:after="288" w:line="312" w:lineRule="auto"/>
        <w:ind w:left="0"/>
        <w:rPr>
          <w:color w:val="auto"/>
        </w:rPr>
      </w:pPr>
      <w:r>
        <w:rPr>
          <w:color w:val="auto"/>
        </w:rPr>
        <w:t xml:space="preserve">Garantia, manutenção e assistência técnica </w:t>
      </w:r>
    </w:p>
    <w:p w14:paraId="0BDBFB40" w14:textId="77777777" w:rsidR="00E878FB" w:rsidRDefault="00C43B83">
      <w:pPr>
        <w:pStyle w:val="Nivel2"/>
        <w:spacing w:afterLines="120" w:after="288" w:line="312" w:lineRule="auto"/>
        <w:ind w:left="0" w:firstLine="0"/>
      </w:pPr>
      <w:r>
        <w:t>O prazo de garantia é aquele estabelecido na Lei nº 8.078, de 11 de setembro de 1990 (Código de Defesa do Consumidor)</w:t>
      </w:r>
    </w:p>
    <w:p w14:paraId="1142784E" w14:textId="77777777" w:rsidR="00E878FB" w:rsidRDefault="00C43B83">
      <w:pPr>
        <w:pStyle w:val="Nivel01"/>
      </w:pPr>
      <w:r>
        <w:t>INFRAÇÕES E SANÇÕES ADMINISTRATIVAS</w:t>
      </w:r>
    </w:p>
    <w:p w14:paraId="3E0E08B3" w14:textId="77777777" w:rsidR="00E878FB" w:rsidRDefault="00E878FB"/>
    <w:p w14:paraId="3B7095FE" w14:textId="77777777" w:rsidR="00E878FB" w:rsidRDefault="00E878FB">
      <w:pPr>
        <w:pStyle w:val="ListParagraph"/>
        <w:numPr>
          <w:ilvl w:val="0"/>
          <w:numId w:val="6"/>
        </w:numPr>
        <w:spacing w:before="120" w:after="120" w:line="276" w:lineRule="auto"/>
        <w:contextualSpacing w:val="0"/>
        <w:jc w:val="both"/>
        <w:rPr>
          <w:rStyle w:val="normaltextrun"/>
          <w:rFonts w:ascii="Arial" w:hAnsi="Arial" w:cs="Arial"/>
          <w:vanish/>
          <w:color w:val="000000"/>
          <w:sz w:val="20"/>
          <w:szCs w:val="20"/>
        </w:rPr>
      </w:pPr>
    </w:p>
    <w:p w14:paraId="6936F861" w14:textId="77777777" w:rsidR="00E878FB" w:rsidRDefault="00E878FB">
      <w:pPr>
        <w:pStyle w:val="ListParagraph"/>
        <w:numPr>
          <w:ilvl w:val="0"/>
          <w:numId w:val="6"/>
        </w:numPr>
        <w:spacing w:before="120" w:after="120" w:line="276" w:lineRule="auto"/>
        <w:contextualSpacing w:val="0"/>
        <w:jc w:val="both"/>
        <w:rPr>
          <w:rStyle w:val="normaltextrun"/>
          <w:rFonts w:ascii="Arial" w:hAnsi="Arial" w:cs="Arial"/>
          <w:vanish/>
          <w:color w:val="000000"/>
          <w:sz w:val="20"/>
          <w:szCs w:val="20"/>
        </w:rPr>
      </w:pPr>
    </w:p>
    <w:p w14:paraId="7CE38989" w14:textId="77777777" w:rsidR="00E878FB" w:rsidRDefault="00E878FB">
      <w:pPr>
        <w:pStyle w:val="ListParagraph"/>
        <w:numPr>
          <w:ilvl w:val="0"/>
          <w:numId w:val="6"/>
        </w:numPr>
        <w:spacing w:before="120" w:after="120" w:line="276" w:lineRule="auto"/>
        <w:contextualSpacing w:val="0"/>
        <w:jc w:val="both"/>
        <w:rPr>
          <w:rStyle w:val="normaltextrun"/>
          <w:rFonts w:ascii="Arial" w:hAnsi="Arial" w:cs="Arial"/>
          <w:vanish/>
          <w:color w:val="000000"/>
          <w:sz w:val="20"/>
          <w:szCs w:val="20"/>
        </w:rPr>
      </w:pPr>
    </w:p>
    <w:p w14:paraId="402046FA" w14:textId="77777777" w:rsidR="00E878FB" w:rsidRDefault="00E878FB">
      <w:pPr>
        <w:pStyle w:val="ListParagraph"/>
        <w:numPr>
          <w:ilvl w:val="0"/>
          <w:numId w:val="6"/>
        </w:numPr>
        <w:spacing w:before="120" w:after="120" w:line="276" w:lineRule="auto"/>
        <w:contextualSpacing w:val="0"/>
        <w:jc w:val="both"/>
        <w:rPr>
          <w:rStyle w:val="normaltextrun"/>
          <w:rFonts w:ascii="Arial" w:hAnsi="Arial" w:cs="Arial"/>
          <w:vanish/>
          <w:color w:val="000000"/>
          <w:sz w:val="20"/>
          <w:szCs w:val="20"/>
        </w:rPr>
      </w:pPr>
    </w:p>
    <w:p w14:paraId="314FC88D" w14:textId="77777777" w:rsidR="00E878FB" w:rsidRDefault="00E878FB">
      <w:pPr>
        <w:pStyle w:val="ListParagraph"/>
        <w:numPr>
          <w:ilvl w:val="0"/>
          <w:numId w:val="6"/>
        </w:numPr>
        <w:spacing w:before="120" w:after="120" w:line="276" w:lineRule="auto"/>
        <w:contextualSpacing w:val="0"/>
        <w:jc w:val="both"/>
        <w:rPr>
          <w:rStyle w:val="normaltextrun"/>
          <w:rFonts w:ascii="Arial" w:hAnsi="Arial" w:cs="Arial"/>
          <w:vanish/>
          <w:color w:val="000000"/>
          <w:sz w:val="20"/>
          <w:szCs w:val="20"/>
        </w:rPr>
      </w:pPr>
    </w:p>
    <w:p w14:paraId="5CCD99FE" w14:textId="77777777" w:rsidR="00E878FB" w:rsidRDefault="00E878FB">
      <w:pPr>
        <w:pStyle w:val="ListParagraph"/>
        <w:numPr>
          <w:ilvl w:val="0"/>
          <w:numId w:val="6"/>
        </w:numPr>
        <w:spacing w:before="120" w:after="120" w:line="276" w:lineRule="auto"/>
        <w:contextualSpacing w:val="0"/>
        <w:jc w:val="both"/>
        <w:rPr>
          <w:rStyle w:val="normaltextrun"/>
          <w:rFonts w:ascii="Arial" w:hAnsi="Arial" w:cs="Arial"/>
          <w:vanish/>
          <w:color w:val="000000"/>
          <w:sz w:val="20"/>
          <w:szCs w:val="20"/>
        </w:rPr>
      </w:pPr>
    </w:p>
    <w:p w14:paraId="56999E22" w14:textId="77777777" w:rsidR="00E878FB" w:rsidRDefault="00C43B83">
      <w:pPr>
        <w:pStyle w:val="Nivel2"/>
        <w:numPr>
          <w:ilvl w:val="1"/>
          <w:numId w:val="6"/>
        </w:numPr>
        <w:ind w:left="424"/>
      </w:pPr>
      <w:r>
        <w:rPr>
          <w:rStyle w:val="normaltextrun"/>
        </w:rPr>
        <w:t xml:space="preserve">Comete </w:t>
      </w:r>
      <w:r>
        <w:t>infração</w:t>
      </w:r>
      <w:r>
        <w:rPr>
          <w:rStyle w:val="normaltextrun"/>
        </w:rPr>
        <w:t xml:space="preserve"> administrativa, nos termos da Lei nº 14.133, de 2021, o Contratado que:</w:t>
      </w:r>
    </w:p>
    <w:p w14:paraId="5E5457AA"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t>der causa à inexecução parcial do contrato;</w:t>
      </w:r>
    </w:p>
    <w:p w14:paraId="64B40260"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t>der causa à inexecução parcial do contrato que cause grave dano à Administração ou ao funcionamento dos serviços públicos ou ao interesse coletivo;</w:t>
      </w:r>
    </w:p>
    <w:p w14:paraId="68CC131C"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t>der causa à inexecução total do contrato;</w:t>
      </w:r>
    </w:p>
    <w:p w14:paraId="78060B22"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t>ensejar o retardamento da execução ou da entrega do objeto da contratação sem motivo justificado;</w:t>
      </w:r>
    </w:p>
    <w:p w14:paraId="1AE6221F"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t>apresentar documentação falsa ou prestar declaração falsa durante a execução do contrato;</w:t>
      </w:r>
    </w:p>
    <w:p w14:paraId="09B7C207"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t>praticar ato fraudulento na execução do contrato;</w:t>
      </w:r>
    </w:p>
    <w:p w14:paraId="699B33F3"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t>comportar-se de modo inidôneo ou cometer fraude de qualquer natureza;</w:t>
      </w:r>
    </w:p>
    <w:p w14:paraId="0224CDF8" w14:textId="77777777" w:rsidR="00E878FB" w:rsidRDefault="00C43B83">
      <w:pPr>
        <w:pStyle w:val="paragraph"/>
        <w:numPr>
          <w:ilvl w:val="0"/>
          <w:numId w:val="7"/>
        </w:numPr>
        <w:spacing w:before="120" w:beforeAutospacing="0" w:after="120" w:afterAutospacing="0" w:line="276" w:lineRule="auto"/>
        <w:ind w:left="284" w:firstLine="0"/>
        <w:jc w:val="both"/>
        <w:textAlignment w:val="baseline"/>
        <w:rPr>
          <w:rFonts w:ascii="Arial" w:hAnsi="Arial"/>
          <w:sz w:val="20"/>
        </w:rPr>
      </w:pPr>
      <w:r>
        <w:rPr>
          <w:rStyle w:val="normaltextrun"/>
          <w:rFonts w:ascii="Arial" w:hAnsi="Arial"/>
          <w:sz w:val="20"/>
        </w:rPr>
        <w:lastRenderedPageBreak/>
        <w:t>praticar ato lesivo previsto no art. 5º da Lei nº 12.846, de 1º de agosto de 2013.</w:t>
      </w:r>
    </w:p>
    <w:p w14:paraId="58FE4AA8" w14:textId="77777777" w:rsidR="00E878FB" w:rsidRDefault="00C43B83">
      <w:pPr>
        <w:pStyle w:val="Nivel2"/>
        <w:numPr>
          <w:ilvl w:val="1"/>
          <w:numId w:val="6"/>
        </w:numPr>
        <w:ind w:left="0" w:hanging="8"/>
        <w:rPr>
          <w:rStyle w:val="normaltextrun"/>
          <w:i/>
        </w:rPr>
      </w:pPr>
      <w:r>
        <w:rPr>
          <w:rStyle w:val="normaltextrun"/>
        </w:rPr>
        <w:t xml:space="preserve">Serão </w:t>
      </w:r>
      <w:r>
        <w:t>aplicadas</w:t>
      </w:r>
      <w:r>
        <w:rPr>
          <w:rStyle w:val="normaltextrun"/>
        </w:rPr>
        <w:t xml:space="preserve"> ao Contratado que incorrer nas infrações acima descritas as seguintes sanções:</w:t>
      </w:r>
    </w:p>
    <w:p w14:paraId="2E82E547" w14:textId="77777777" w:rsidR="00E878FB" w:rsidRDefault="00C43B83">
      <w:pPr>
        <w:pStyle w:val="Nivel3"/>
        <w:numPr>
          <w:ilvl w:val="2"/>
          <w:numId w:val="6"/>
        </w:numPr>
        <w:ind w:left="284" w:firstLine="0"/>
        <w:rPr>
          <w:rStyle w:val="normaltextrun"/>
        </w:rPr>
      </w:pPr>
      <w:r>
        <w:rPr>
          <w:rStyle w:val="normaltextrun"/>
        </w:rPr>
        <w:t>Advertência, quando o Contratado der causa à inexecução parcial do contrato, sempre que não se justificar a imposição de penalidade mais grave;</w:t>
      </w:r>
    </w:p>
    <w:p w14:paraId="6EA2A1E4" w14:textId="77777777" w:rsidR="00E878FB" w:rsidRDefault="00C43B83">
      <w:pPr>
        <w:pStyle w:val="Nivel3"/>
        <w:numPr>
          <w:ilvl w:val="2"/>
          <w:numId w:val="6"/>
        </w:numPr>
        <w:ind w:left="284" w:firstLine="0"/>
        <w:rPr>
          <w:rStyle w:val="normaltextrun"/>
        </w:rPr>
      </w:pPr>
      <w:r>
        <w:rPr>
          <w:rStyle w:val="normaltextrun"/>
        </w:rPr>
        <w:t>Impedimento de licitar e contratar, quando praticadas as condutas descritas nas alíneas “b”, “c” e “d” do subitem acima, sempre que não se justificar a imposição de penalidade mais grave;</w:t>
      </w:r>
    </w:p>
    <w:p w14:paraId="7029A482" w14:textId="77777777" w:rsidR="00E878FB" w:rsidRDefault="00C43B83">
      <w:pPr>
        <w:pStyle w:val="Nivel3"/>
        <w:numPr>
          <w:ilvl w:val="2"/>
          <w:numId w:val="6"/>
        </w:numPr>
        <w:ind w:left="284" w:firstLine="0"/>
        <w:rPr>
          <w:rStyle w:val="eop"/>
        </w:rPr>
      </w:pPr>
      <w:r>
        <w:rPr>
          <w:rStyle w:val="normaltextrun"/>
        </w:rPr>
        <w:t>Declaração de inidoneidade para licitar e contratar, quando praticadas as condutas descritas nas alíneas “e”, “f”, “g” e “h” do subitem acima, bem como nas alíneas “b”, “c” e “d”, que justifiquem a imposição de penalidade mais grave.</w:t>
      </w:r>
    </w:p>
    <w:p w14:paraId="0898F2A9" w14:textId="77777777" w:rsidR="00E878FB" w:rsidRDefault="00C43B83">
      <w:pPr>
        <w:pStyle w:val="Nivel3"/>
        <w:numPr>
          <w:ilvl w:val="2"/>
          <w:numId w:val="6"/>
        </w:numPr>
        <w:ind w:left="284" w:firstLine="0"/>
        <w:rPr>
          <w:color w:val="auto"/>
        </w:rPr>
      </w:pPr>
      <w:r>
        <w:rPr>
          <w:rStyle w:val="normaltextrun"/>
          <w:color w:val="auto"/>
        </w:rPr>
        <w:t>Multa:</w:t>
      </w:r>
    </w:p>
    <w:p w14:paraId="6EA1F25E" w14:textId="77777777" w:rsidR="00E878FB" w:rsidRDefault="00C43B83">
      <w:pPr>
        <w:pStyle w:val="Nvel4-R"/>
        <w:numPr>
          <w:ilvl w:val="3"/>
          <w:numId w:val="6"/>
        </w:numPr>
        <w:ind w:left="567" w:firstLine="0"/>
        <w:rPr>
          <w:i w:val="0"/>
          <w:color w:val="auto"/>
        </w:rPr>
      </w:pPr>
      <w:r>
        <w:rPr>
          <w:rStyle w:val="normaltextrun"/>
          <w:i w:val="0"/>
          <w:color w:val="auto"/>
        </w:rPr>
        <w:t xml:space="preserve">Moratória, para as infrações descritas no item “d”, </w:t>
      </w:r>
      <w:r>
        <w:rPr>
          <w:i w:val="0"/>
          <w:color w:val="auto"/>
        </w:rPr>
        <w:t>calculada sobre o valor da obrigação não cumprida, a partir do dia subsequente ao término do prazo estipulado, observados os seguintes critérios:</w:t>
      </w:r>
    </w:p>
    <w:p w14:paraId="55DBEA19" w14:textId="77777777" w:rsidR="00E878FB" w:rsidRDefault="00C43B83">
      <w:pPr>
        <w:pStyle w:val="Nvel4-R"/>
        <w:numPr>
          <w:ilvl w:val="3"/>
          <w:numId w:val="8"/>
        </w:numPr>
        <w:tabs>
          <w:tab w:val="clear" w:pos="360"/>
          <w:tab w:val="clear" w:pos="2160"/>
          <w:tab w:val="left" w:pos="993"/>
        </w:tabs>
        <w:ind w:left="567" w:firstLine="0"/>
        <w:rPr>
          <w:b/>
          <w:i w:val="0"/>
          <w:color w:val="auto"/>
        </w:rPr>
      </w:pPr>
      <w:r>
        <w:rPr>
          <w:b/>
          <w:i w:val="0"/>
          <w:color w:val="auto"/>
        </w:rPr>
        <w:t>De 0,5% (cinco décimos por cento) a 10% (dez por cento) por dia, para atraso até 30 (trinta) dias;</w:t>
      </w:r>
    </w:p>
    <w:p w14:paraId="70B094ED" w14:textId="77777777" w:rsidR="00E878FB" w:rsidRDefault="00C43B83">
      <w:pPr>
        <w:pStyle w:val="Nvel4-R"/>
        <w:numPr>
          <w:ilvl w:val="3"/>
          <w:numId w:val="8"/>
        </w:numPr>
        <w:tabs>
          <w:tab w:val="clear" w:pos="360"/>
          <w:tab w:val="clear" w:pos="2160"/>
          <w:tab w:val="left" w:pos="993"/>
        </w:tabs>
        <w:ind w:left="567" w:firstLine="0"/>
        <w:rPr>
          <w:b/>
          <w:i w:val="0"/>
          <w:color w:val="auto"/>
        </w:rPr>
      </w:pPr>
      <w:r>
        <w:rPr>
          <w:b/>
          <w:i w:val="0"/>
          <w:color w:val="auto"/>
        </w:rPr>
        <w:t>De 0,5% (cinco décimos por cento) a 20% (vinte por cento) por dia, para atrasos superiores a 30 (trinta) dias até o limite de 60 (sessenta) dias, em acréscimo à do inciso I;</w:t>
      </w:r>
    </w:p>
    <w:p w14:paraId="414E2BC1" w14:textId="77777777" w:rsidR="00E878FB" w:rsidRDefault="00C43B83">
      <w:pPr>
        <w:pStyle w:val="Nvel4-R"/>
        <w:numPr>
          <w:ilvl w:val="3"/>
          <w:numId w:val="8"/>
        </w:numPr>
        <w:tabs>
          <w:tab w:val="clear" w:pos="360"/>
          <w:tab w:val="clear" w:pos="2160"/>
          <w:tab w:val="left" w:pos="993"/>
        </w:tabs>
        <w:ind w:left="567" w:firstLine="0"/>
        <w:rPr>
          <w:b/>
          <w:i w:val="0"/>
          <w:color w:val="auto"/>
        </w:rPr>
      </w:pPr>
      <w:r>
        <w:rPr>
          <w:b/>
          <w:i w:val="0"/>
          <w:color w:val="auto"/>
        </w:rPr>
        <w:t>Após o 60º (sexagésimo) dia de atraso, poderá ocorrer a não aceitação do objeto, configurando inexecução parcial ou total, conforme o caso, ensejando a extinção unilateral do contrato, nos termos do disposto no art. 137 da Lei nº 14.133/202, com aplicação cumulada de outras sanções previstas no item 6.2 deste instrumento, salvo quando houver justificativa motivada quanto à vantajosidade da manutenção da contratação.</w:t>
      </w:r>
    </w:p>
    <w:p w14:paraId="6EF15511" w14:textId="77777777" w:rsidR="00E878FB" w:rsidRDefault="00C43B83">
      <w:pPr>
        <w:pStyle w:val="Nvel4-R"/>
        <w:numPr>
          <w:ilvl w:val="3"/>
          <w:numId w:val="8"/>
        </w:numPr>
        <w:tabs>
          <w:tab w:val="clear" w:pos="360"/>
          <w:tab w:val="clear" w:pos="2160"/>
          <w:tab w:val="left" w:pos="993"/>
        </w:tabs>
        <w:ind w:left="567" w:firstLine="0"/>
        <w:rPr>
          <w:b/>
          <w:i w:val="0"/>
          <w:color w:val="auto"/>
        </w:rPr>
      </w:pPr>
      <w:r>
        <w:rPr>
          <w:b/>
          <w:i w:val="0"/>
          <w:color w:val="auto"/>
        </w:rPr>
        <w:t>O percentual da multa incidirá sobre o valor correspondente aos itens não entregues, conforme quantitativo estabelecido no contrato ou instrumento equivalente.</w:t>
      </w:r>
    </w:p>
    <w:p w14:paraId="3B5951BB" w14:textId="77777777" w:rsidR="00E878FB" w:rsidRDefault="00C43B83">
      <w:pPr>
        <w:pStyle w:val="Nvel4-R"/>
        <w:numPr>
          <w:ilvl w:val="3"/>
          <w:numId w:val="8"/>
        </w:numPr>
        <w:tabs>
          <w:tab w:val="clear" w:pos="360"/>
          <w:tab w:val="clear" w:pos="2160"/>
          <w:tab w:val="left" w:pos="993"/>
        </w:tabs>
        <w:ind w:left="567" w:firstLine="0"/>
        <w:rPr>
          <w:b/>
          <w:i w:val="0"/>
          <w:color w:val="auto"/>
        </w:rPr>
      </w:pPr>
      <w:r>
        <w:rPr>
          <w:b/>
          <w:i w:val="0"/>
          <w:color w:val="auto"/>
        </w:rPr>
        <w:t>Para apuração do valor total da multa será adotado o método de acumulação simples, que significa a mera multiplicação da taxa diária pelo número de dias de atraso e pelo valor correspondente à obrigação não cumprida.</w:t>
      </w:r>
    </w:p>
    <w:p w14:paraId="6CA143C7" w14:textId="77777777" w:rsidR="00E878FB" w:rsidRDefault="00E878FB">
      <w:pPr>
        <w:pStyle w:val="Nvel4-R"/>
        <w:rPr>
          <w:i w:val="0"/>
          <w:color w:val="auto"/>
        </w:rPr>
      </w:pPr>
    </w:p>
    <w:p w14:paraId="01B22920" w14:textId="77777777" w:rsidR="00E878FB" w:rsidRDefault="00C43B83">
      <w:pPr>
        <w:pStyle w:val="Nvel4-R"/>
        <w:numPr>
          <w:ilvl w:val="3"/>
          <w:numId w:val="6"/>
        </w:numPr>
        <w:ind w:left="567" w:firstLine="0"/>
        <w:rPr>
          <w:rStyle w:val="normaltextrun"/>
          <w:i w:val="0"/>
          <w:color w:val="auto"/>
        </w:rPr>
      </w:pPr>
      <w:r>
        <w:rPr>
          <w:rStyle w:val="normaltextrun"/>
          <w:i w:val="0"/>
          <w:color w:val="auto"/>
        </w:rPr>
        <w:t>Moratória de 0,07% (sete centésimos por cento) por dia de atraso injustificado sobre o valor total do contrato, até o máximo de 2% (dois por cento), pela inobservância do prazo fixado para apresentação, suplementação ou reposição da garantia;</w:t>
      </w:r>
    </w:p>
    <w:p w14:paraId="2AE05F9B" w14:textId="77777777" w:rsidR="00E878FB" w:rsidRDefault="00C43B83">
      <w:pPr>
        <w:pStyle w:val="Nvel4-R"/>
        <w:numPr>
          <w:ilvl w:val="4"/>
          <w:numId w:val="6"/>
        </w:numPr>
        <w:ind w:left="2160"/>
        <w:rPr>
          <w:i w:val="0"/>
          <w:color w:val="auto"/>
        </w:rPr>
      </w:pPr>
      <w:r>
        <w:rPr>
          <w:i w:val="0"/>
          <w:color w:val="auto"/>
        </w:rPr>
        <w:t>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14:paraId="7CC092E0" w14:textId="77777777" w:rsidR="00E878FB" w:rsidRDefault="00C43B83">
      <w:pPr>
        <w:pStyle w:val="Nvel4-R"/>
        <w:numPr>
          <w:ilvl w:val="3"/>
          <w:numId w:val="6"/>
        </w:numPr>
        <w:ind w:left="567" w:firstLine="0"/>
        <w:rPr>
          <w:i w:val="0"/>
          <w:color w:val="auto"/>
        </w:rPr>
      </w:pPr>
      <w:r>
        <w:rPr>
          <w:rStyle w:val="normaltextrun"/>
          <w:i w:val="0"/>
          <w:color w:val="auto"/>
        </w:rPr>
        <w:t>Compensatória, para as infrações descritas acima alíneas “c” e “e” a “h” de 5% (cinco por cento) a 30% (trinta por cento) do valor da contratação.</w:t>
      </w:r>
    </w:p>
    <w:p w14:paraId="02CF9CDB" w14:textId="77777777" w:rsidR="00E878FB" w:rsidRDefault="00C43B83">
      <w:pPr>
        <w:pStyle w:val="Nvel4-R"/>
        <w:numPr>
          <w:ilvl w:val="3"/>
          <w:numId w:val="6"/>
        </w:numPr>
        <w:ind w:left="567" w:firstLine="0"/>
        <w:rPr>
          <w:i w:val="0"/>
          <w:color w:val="auto"/>
        </w:rPr>
      </w:pPr>
      <w:r>
        <w:rPr>
          <w:rStyle w:val="normaltextrun"/>
          <w:i w:val="0"/>
          <w:color w:val="auto"/>
        </w:rPr>
        <w:t>Compensatória, para a infração descrita acima na alínea “b”, de 5% (cinco por cento) a 20% (vinte por cento) do valor da contratação.</w:t>
      </w:r>
    </w:p>
    <w:p w14:paraId="71C12C3C" w14:textId="77777777" w:rsidR="00E878FB" w:rsidRDefault="00C43B83">
      <w:pPr>
        <w:pStyle w:val="Nvel4-R"/>
        <w:numPr>
          <w:ilvl w:val="3"/>
          <w:numId w:val="6"/>
        </w:numPr>
        <w:ind w:left="567" w:firstLine="0"/>
        <w:rPr>
          <w:i w:val="0"/>
          <w:color w:val="auto"/>
        </w:rPr>
      </w:pPr>
      <w:bookmarkStart w:id="0" w:name="_Hlk175669195"/>
      <w:r>
        <w:rPr>
          <w:rStyle w:val="normaltextrun"/>
          <w:i w:val="0"/>
          <w:color w:val="auto"/>
        </w:rPr>
        <w:t>Compensatória, em substituição à multa moratória para a infração descrita acima na alínea “d”, de 0,5% (cinco décimos por cento) a 30% (trinta por cento) do valor da contratação.</w:t>
      </w:r>
    </w:p>
    <w:bookmarkEnd w:id="0"/>
    <w:p w14:paraId="1ACB0039" w14:textId="77777777" w:rsidR="00E878FB" w:rsidRDefault="00C43B83">
      <w:pPr>
        <w:pStyle w:val="Nvel4-R"/>
        <w:numPr>
          <w:ilvl w:val="3"/>
          <w:numId w:val="6"/>
        </w:numPr>
        <w:ind w:left="567" w:firstLine="0"/>
        <w:rPr>
          <w:i w:val="0"/>
          <w:color w:val="auto"/>
        </w:rPr>
      </w:pPr>
      <w:r>
        <w:rPr>
          <w:rStyle w:val="normaltextrun"/>
          <w:i w:val="0"/>
          <w:color w:val="auto"/>
        </w:rPr>
        <w:t xml:space="preserve">Compensatória, para a infração descrita acima na alínea “a”, de 0,5% (cinco décimos por cento) a 10% (dez por cento) do valor da contratação </w:t>
      </w:r>
    </w:p>
    <w:p w14:paraId="78D45003" w14:textId="77777777" w:rsidR="00E878FB" w:rsidRDefault="00C43B83">
      <w:pPr>
        <w:pStyle w:val="Nivel2"/>
        <w:numPr>
          <w:ilvl w:val="1"/>
          <w:numId w:val="6"/>
        </w:numPr>
        <w:ind w:left="0" w:hanging="8"/>
      </w:pPr>
      <w:r>
        <w:rPr>
          <w:rStyle w:val="normaltextrun"/>
        </w:rPr>
        <w:t xml:space="preserve">A aplicação das sanções previstas </w:t>
      </w:r>
      <w:bookmarkStart w:id="1" w:name="_Hlk170830409"/>
      <w:r>
        <w:rPr>
          <w:rStyle w:val="normaltextrun"/>
        </w:rPr>
        <w:t xml:space="preserve">neste </w:t>
      </w:r>
      <w:r>
        <w:t xml:space="preserve">Termo de Referência </w:t>
      </w:r>
      <w:bookmarkEnd w:id="1"/>
      <w:r>
        <w:rPr>
          <w:rStyle w:val="normaltextrun"/>
        </w:rPr>
        <w:t>não exclui, em hipótese alguma, a obrigação de reparação integral do dano causado ao Contratante.</w:t>
      </w:r>
    </w:p>
    <w:p w14:paraId="040E83F8" w14:textId="77777777" w:rsidR="00E878FB" w:rsidRDefault="00C43B83">
      <w:pPr>
        <w:pStyle w:val="Nivel2"/>
        <w:numPr>
          <w:ilvl w:val="1"/>
          <w:numId w:val="6"/>
        </w:numPr>
        <w:ind w:left="0" w:hanging="8"/>
      </w:pPr>
      <w:r>
        <w:rPr>
          <w:rStyle w:val="normaltextrun"/>
        </w:rPr>
        <w:t xml:space="preserve">Todas as sanções previstas neste </w:t>
      </w:r>
      <w:r>
        <w:t>Termo de Referência</w:t>
      </w:r>
      <w:r>
        <w:rPr>
          <w:rStyle w:val="normaltextrun"/>
        </w:rPr>
        <w:t xml:space="preserve"> poderão ser aplicadas cumulativamente com a multa.</w:t>
      </w:r>
    </w:p>
    <w:p w14:paraId="3BE984C1" w14:textId="77777777" w:rsidR="00E878FB" w:rsidRDefault="00C43B83">
      <w:pPr>
        <w:pStyle w:val="Nivel2"/>
        <w:numPr>
          <w:ilvl w:val="1"/>
          <w:numId w:val="6"/>
        </w:numPr>
        <w:ind w:left="0" w:hanging="8"/>
      </w:pPr>
      <w:r>
        <w:lastRenderedPageBreak/>
        <w:t xml:space="preserve">Antes da aplicação da </w:t>
      </w:r>
      <w:r>
        <w:rPr>
          <w:rStyle w:val="normaltextrun"/>
        </w:rPr>
        <w:t>multa</w:t>
      </w:r>
      <w:r>
        <w:t xml:space="preserve"> será facultada a defesa do interessado no prazo de 15 (quinze) dias úteis, contado da data de sua intimação</w:t>
      </w:r>
      <w:r>
        <w:rPr>
          <w:rStyle w:val="normaltextrun"/>
        </w:rPr>
        <w:t>.</w:t>
      </w:r>
    </w:p>
    <w:p w14:paraId="0896BAC8" w14:textId="77777777" w:rsidR="00E878FB" w:rsidRDefault="00C43B83">
      <w:pPr>
        <w:pStyle w:val="Nivel2"/>
        <w:numPr>
          <w:ilvl w:val="1"/>
          <w:numId w:val="6"/>
        </w:numPr>
        <w:ind w:left="0" w:hanging="8"/>
      </w:pPr>
      <w:r>
        <w:rPr>
          <w:rStyle w:val="normaltextrun"/>
        </w:rPr>
        <w:t xml:space="preserve">Se a multa aplicada e as indenizações cabíveis forem superiores ao valor do pagamento </w:t>
      </w:r>
      <w:r>
        <w:t>eventualmente</w:t>
      </w:r>
      <w:r>
        <w:rPr>
          <w:rStyle w:val="normaltextrun"/>
        </w:rPr>
        <w:t xml:space="preserve"> devido pelo Contratante ao Contratado, além da perda desse valor, a diferença será descontada da garantia prestada ou será cobrada judicialmente.</w:t>
      </w:r>
    </w:p>
    <w:p w14:paraId="198835E4" w14:textId="77777777" w:rsidR="00E878FB" w:rsidRDefault="00C43B83">
      <w:pPr>
        <w:pStyle w:val="Nivel2"/>
        <w:numPr>
          <w:ilvl w:val="1"/>
          <w:numId w:val="6"/>
        </w:numPr>
        <w:ind w:left="0" w:hanging="8"/>
      </w:pPr>
      <w:r>
        <w:rPr>
          <w:rStyle w:val="normaltextrun"/>
        </w:rPr>
        <w:t xml:space="preserve">A multa poderá ser recolhida </w:t>
      </w:r>
      <w:r>
        <w:t>administrativamente</w:t>
      </w:r>
      <w:r>
        <w:rPr>
          <w:rStyle w:val="normaltextrun"/>
        </w:rPr>
        <w:t xml:space="preserve"> no prazo máximo de 15 (quinze) dias, a contar da data do recebimento da comunicação enviada pela autoridade competente.</w:t>
      </w:r>
    </w:p>
    <w:p w14:paraId="19883E40" w14:textId="77777777" w:rsidR="00E878FB" w:rsidRDefault="00C43B83">
      <w:pPr>
        <w:pStyle w:val="Nivel2"/>
        <w:numPr>
          <w:ilvl w:val="1"/>
          <w:numId w:val="6"/>
        </w:numPr>
        <w:ind w:left="0" w:hanging="8"/>
        <w:rPr>
          <w:rStyle w:val="eop"/>
        </w:rPr>
      </w:pPr>
      <w:r>
        <w:rPr>
          <w:rStyle w:val="normaltextrun"/>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1AC8EF99" w14:textId="77777777" w:rsidR="00E878FB" w:rsidRDefault="00C43B83">
      <w:pPr>
        <w:pStyle w:val="Nivel3"/>
        <w:numPr>
          <w:ilvl w:val="2"/>
          <w:numId w:val="6"/>
        </w:numPr>
        <w:ind w:left="284" w:firstLine="0"/>
        <w:rPr>
          <w:rStyle w:val="eop"/>
        </w:rPr>
      </w:pPr>
      <w:r>
        <w:rPr>
          <w:rStyle w:val="normaltextrun"/>
        </w:rPr>
        <w:t>Para a garantia da ampla defesa e contraditório, as notificações serão enviadas eletronicamente para os endereços de e-mail informados na proposta comercial, bem como os cadastrados pela empresa no SICAF.</w:t>
      </w:r>
    </w:p>
    <w:p w14:paraId="299C8BF6" w14:textId="77777777" w:rsidR="00E878FB" w:rsidRDefault="00C43B83">
      <w:pPr>
        <w:pStyle w:val="Nivel3"/>
        <w:numPr>
          <w:ilvl w:val="2"/>
          <w:numId w:val="6"/>
        </w:numPr>
        <w:ind w:left="284" w:firstLine="0"/>
      </w:pPr>
      <w:r>
        <w:rPr>
          <w:rStyle w:val="normaltextrun"/>
        </w:rPr>
        <w:t>Os endereços de e-mail informados na proposta comercial e/ou cadastrados no Sicaf serão considerados de uso contínuo da empresa, não cabendo alegação de desconhecimento das comunicações a eles comprovadamente enviadas.</w:t>
      </w:r>
    </w:p>
    <w:p w14:paraId="75B22BDD" w14:textId="77777777" w:rsidR="00E878FB" w:rsidRDefault="00C43B83">
      <w:pPr>
        <w:pStyle w:val="Nivel2"/>
        <w:numPr>
          <w:ilvl w:val="1"/>
          <w:numId w:val="6"/>
        </w:numPr>
        <w:ind w:left="0" w:firstLine="0"/>
      </w:pPr>
      <w:r>
        <w:rPr>
          <w:rStyle w:val="normaltextrun"/>
        </w:rPr>
        <w:t xml:space="preserve">Na aplicação </w:t>
      </w:r>
      <w:r>
        <w:t>das</w:t>
      </w:r>
      <w:r>
        <w:rPr>
          <w:rStyle w:val="normaltextrun"/>
        </w:rPr>
        <w:t xml:space="preserve"> sanções serão considerados:</w:t>
      </w:r>
    </w:p>
    <w:p w14:paraId="4F49B2C6" w14:textId="77777777" w:rsidR="00E878FB" w:rsidRDefault="00C43B83">
      <w:pPr>
        <w:pStyle w:val="Nivel3"/>
        <w:numPr>
          <w:ilvl w:val="2"/>
          <w:numId w:val="6"/>
        </w:numPr>
        <w:ind w:left="284" w:firstLine="0"/>
      </w:pPr>
      <w:r>
        <w:rPr>
          <w:rStyle w:val="normaltextrun"/>
        </w:rPr>
        <w:t>a natureza e a gravidade da infração cometida;</w:t>
      </w:r>
    </w:p>
    <w:p w14:paraId="595C2893" w14:textId="77777777" w:rsidR="00E878FB" w:rsidRDefault="00C43B83">
      <w:pPr>
        <w:pStyle w:val="Nivel3"/>
        <w:numPr>
          <w:ilvl w:val="2"/>
          <w:numId w:val="6"/>
        </w:numPr>
        <w:ind w:left="284" w:firstLine="0"/>
      </w:pPr>
      <w:r>
        <w:rPr>
          <w:rStyle w:val="normaltextrun"/>
        </w:rPr>
        <w:t>as peculiaridades do caso concreto;</w:t>
      </w:r>
    </w:p>
    <w:p w14:paraId="3F8D76A7" w14:textId="77777777" w:rsidR="00E878FB" w:rsidRDefault="00C43B83">
      <w:pPr>
        <w:pStyle w:val="Nivel3"/>
        <w:numPr>
          <w:ilvl w:val="2"/>
          <w:numId w:val="6"/>
        </w:numPr>
        <w:ind w:left="284" w:firstLine="0"/>
      </w:pPr>
      <w:r>
        <w:rPr>
          <w:rStyle w:val="normaltextrun"/>
        </w:rPr>
        <w:t>as circunstâncias agravantes ou atenuantes;</w:t>
      </w:r>
    </w:p>
    <w:p w14:paraId="310DCA0C" w14:textId="77777777" w:rsidR="00E878FB" w:rsidRDefault="00C43B83">
      <w:pPr>
        <w:pStyle w:val="Nivel3"/>
        <w:numPr>
          <w:ilvl w:val="2"/>
          <w:numId w:val="6"/>
        </w:numPr>
        <w:ind w:left="284" w:firstLine="0"/>
      </w:pPr>
      <w:r>
        <w:t>os danos que dela provierem para o Contratante;</w:t>
      </w:r>
      <w:r>
        <w:rPr>
          <w:rStyle w:val="normaltextrun"/>
        </w:rPr>
        <w:t xml:space="preserve"> e</w:t>
      </w:r>
    </w:p>
    <w:p w14:paraId="790CFEFB" w14:textId="77777777" w:rsidR="00E878FB" w:rsidRDefault="00C43B83">
      <w:pPr>
        <w:pStyle w:val="Nivel3"/>
        <w:numPr>
          <w:ilvl w:val="2"/>
          <w:numId w:val="6"/>
        </w:numPr>
        <w:ind w:left="284" w:firstLine="0"/>
      </w:pPr>
      <w:r>
        <w:rPr>
          <w:rStyle w:val="normaltextrun"/>
        </w:rPr>
        <w:t>a implantação ou o aperfeiçoamento de programa de integridade, conforme normas e orientações dos órgãos de controle.</w:t>
      </w:r>
    </w:p>
    <w:p w14:paraId="029ECE1C" w14:textId="77777777" w:rsidR="00E878FB" w:rsidRDefault="00C43B83">
      <w:pPr>
        <w:pStyle w:val="Nivel2"/>
        <w:numPr>
          <w:ilvl w:val="1"/>
          <w:numId w:val="6"/>
        </w:numPr>
        <w:ind w:left="0" w:hanging="8"/>
      </w:pPr>
      <w:r>
        <w:rPr>
          <w:rStyle w:val="normaltextrun"/>
        </w:rPr>
        <w:t xml:space="preserve">Os atos previstos como infrações administrativas na Lei nº 14.133, de 2021, ou em outras leis de licitações e contratos da </w:t>
      </w:r>
      <w:r>
        <w:t>Administração</w:t>
      </w:r>
      <w:r>
        <w:rPr>
          <w:rStyle w:val="normaltextrun"/>
        </w:rPr>
        <w:t xml:space="preserve"> Pública que também sejam tipificados como atos lesivos na Lei nº 12.846, de 2013, serão apurados e julgados conjuntamente, nos mesmos autos, observados o rito procedimental e autoridade competente definidos na referida Lei.</w:t>
      </w:r>
    </w:p>
    <w:p w14:paraId="2155C371" w14:textId="77777777" w:rsidR="00E878FB" w:rsidRDefault="00C43B83">
      <w:pPr>
        <w:pStyle w:val="Nivel2"/>
        <w:numPr>
          <w:ilvl w:val="1"/>
          <w:numId w:val="6"/>
        </w:numPr>
        <w:ind w:left="0" w:hanging="8"/>
      </w:pPr>
      <w:r>
        <w:rPr>
          <w:rStyle w:val="normaltextrun"/>
        </w:rPr>
        <w:t xml:space="preserve">A personalidade jurídica do Contratado poderá ser desconsiderada sempre que utilizada com abuso do direito para facilitar, encobrir ou dissimular a prática dos atos ilícitos </w:t>
      </w:r>
      <w:bookmarkStart w:id="2" w:name="_Hlk170830482"/>
      <w:r>
        <w:rPr>
          <w:rStyle w:val="normaltextrun"/>
        </w:rPr>
        <w:t xml:space="preserve">previstos </w:t>
      </w:r>
      <w:r>
        <w:t>neste Termo de Referência</w:t>
      </w:r>
      <w:bookmarkEnd w:id="2"/>
      <w:r>
        <w:rPr>
          <w:rStyle w:val="normaltextrun"/>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72379387" w14:textId="77777777" w:rsidR="00E878FB" w:rsidRDefault="00C43B83">
      <w:pPr>
        <w:pStyle w:val="Nivel2"/>
        <w:numPr>
          <w:ilvl w:val="1"/>
          <w:numId w:val="6"/>
        </w:numPr>
        <w:ind w:left="0" w:hanging="8"/>
      </w:pPr>
      <w:r>
        <w:rPr>
          <w:rStyle w:val="normaltextrun"/>
        </w:rPr>
        <w:t xml:space="preserve">O Contratante deverá, no prazo máximo de 15 (quinze) dias úteis, contado da data de aplicação da sanção, </w:t>
      </w:r>
      <w:r>
        <w:t>informar</w:t>
      </w:r>
      <w:r>
        <w:rPr>
          <w:rStyle w:val="normaltextrun"/>
        </w:rPr>
        <w:t xml:space="preserve"> e manter atualizados os dados relativos às sanções por ela aplicadas, para fins de publicidade no Cadastro Nacional de Empresas Inidôneas e Suspensas (CEIS) e no Cadastro Nacional de Empresas Punidas (CNEP), instituídos no âmbito do Poder Executivo Federal.</w:t>
      </w:r>
    </w:p>
    <w:p w14:paraId="59238BD7" w14:textId="77777777" w:rsidR="00E878FB" w:rsidRDefault="00C43B83">
      <w:pPr>
        <w:pStyle w:val="Nivel2"/>
        <w:numPr>
          <w:ilvl w:val="1"/>
          <w:numId w:val="6"/>
        </w:numPr>
        <w:ind w:left="0" w:hanging="8"/>
      </w:pPr>
      <w:r>
        <w:rPr>
          <w:rStyle w:val="normaltextrun"/>
        </w:rPr>
        <w:t xml:space="preserve">As sanções de impedimento de licitar e contratar e declaração de inidoneidade para licitar ou contratar são passíveis </w:t>
      </w:r>
      <w:r>
        <w:t>de</w:t>
      </w:r>
      <w:r>
        <w:rPr>
          <w:rStyle w:val="normaltextrun"/>
        </w:rPr>
        <w:t xml:space="preserve"> reabilitação na forma do art. 163 da Lei nº 14.133, de 2021.</w:t>
      </w:r>
    </w:p>
    <w:p w14:paraId="43B8A33A" w14:textId="77777777" w:rsidR="00E878FB" w:rsidRDefault="00C43B83">
      <w:pPr>
        <w:pStyle w:val="Nivel2"/>
        <w:numPr>
          <w:ilvl w:val="1"/>
          <w:numId w:val="6"/>
        </w:numPr>
        <w:ind w:left="0" w:hanging="8"/>
      </w:pPr>
      <w:r>
        <w:t>Os</w:t>
      </w:r>
      <w:r>
        <w:rPr>
          <w:rStyle w:val="normaltextrun"/>
        </w:rPr>
        <w:t xml:space="preserve">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1D5AC608" w14:textId="77777777" w:rsidR="00E878FB" w:rsidRDefault="00E878FB"/>
    <w:p w14:paraId="3E6BF234" w14:textId="77777777" w:rsidR="00E878FB" w:rsidRDefault="00C43B83">
      <w:pPr>
        <w:pStyle w:val="Nivel01"/>
        <w:spacing w:before="120" w:afterLines="120" w:after="288" w:line="312" w:lineRule="auto"/>
      </w:pPr>
      <w:r>
        <w:lastRenderedPageBreak/>
        <w:t>CRITÉRIOS DE MEDIÇÃO E DE PAGAMENTO</w:t>
      </w:r>
    </w:p>
    <w:p w14:paraId="4E3791CD" w14:textId="77777777" w:rsidR="00E878FB" w:rsidRDefault="00C43B83">
      <w:pPr>
        <w:pStyle w:val="Nvel1-SemNum"/>
        <w:spacing w:before="120" w:afterLines="120" w:after="288" w:line="312" w:lineRule="auto"/>
        <w:ind w:left="0"/>
        <w:rPr>
          <w:color w:val="auto"/>
          <w:lang w:eastAsia="en-US"/>
        </w:rPr>
      </w:pPr>
      <w:r>
        <w:rPr>
          <w:color w:val="auto"/>
          <w:lang w:eastAsia="en-US"/>
        </w:rPr>
        <w:t>Recebimento do Objeto</w:t>
      </w:r>
    </w:p>
    <w:p w14:paraId="44E1484E" w14:textId="77777777" w:rsidR="00E878FB" w:rsidRDefault="00C43B83">
      <w:pPr>
        <w:pStyle w:val="Nivel2"/>
        <w:spacing w:afterLines="120" w:after="288" w:line="312" w:lineRule="auto"/>
        <w:ind w:left="0" w:firstLine="0"/>
        <w:rPr>
          <w:lang w:eastAsia="en-US"/>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14:paraId="119FA238" w14:textId="77777777" w:rsidR="00E878FB" w:rsidRDefault="00C43B83">
      <w:pPr>
        <w:pStyle w:val="Nivel2"/>
        <w:spacing w:afterLines="120" w:after="288" w:line="312" w:lineRule="auto"/>
        <w:ind w:left="0" w:firstLine="0"/>
        <w:rPr>
          <w:lang w:eastAsia="en-US"/>
        </w:rPr>
      </w:pPr>
      <w:r>
        <w:rPr>
          <w:lang w:eastAsia="en-US"/>
        </w:rPr>
        <w:t xml:space="preserve">Os bens poderão </w:t>
      </w:r>
      <w:r>
        <w:rPr>
          <w:color w:val="auto"/>
          <w:lang w:eastAsia="en-US"/>
        </w:rPr>
        <w:t xml:space="preserve">ser rejeitados, no todo ou em parte, inclusive antes do recebimento provisório, quando em desacordo com as especificações constantes no Termo de Referência e na proposta, devendo ser substituídos no prazo de 5 (cinco) </w:t>
      </w:r>
      <w:r>
        <w:rPr>
          <w:lang w:eastAsia="en-US"/>
        </w:rPr>
        <w:t>dias, a contar da notificação da contratada, às suas custas, sem prejuízo da aplicação das penalidades.</w:t>
      </w:r>
    </w:p>
    <w:p w14:paraId="341EF591" w14:textId="77777777" w:rsidR="00E878FB" w:rsidRDefault="00C43B83">
      <w:pPr>
        <w:pStyle w:val="Nivel2"/>
        <w:spacing w:afterLines="120" w:after="288" w:line="312" w:lineRule="auto"/>
        <w:ind w:left="0" w:firstLine="0"/>
        <w:rPr>
          <w:lang w:eastAsia="en-US"/>
        </w:rPr>
      </w:pPr>
      <w:r>
        <w:rPr>
          <w:lang w:eastAsia="en-US"/>
        </w:rPr>
        <w:t xml:space="preserve">O recebimento definitivo ocorrerá no prazo </w:t>
      </w:r>
      <w:r>
        <w:rPr>
          <w:color w:val="auto"/>
          <w:lang w:eastAsia="en-US"/>
        </w:rPr>
        <w:t xml:space="preserve">de 5 (cinco) dias úteis, a contar </w:t>
      </w:r>
      <w:r>
        <w:rPr>
          <w:lang w:eastAsia="en-US"/>
        </w:rPr>
        <w:t>do recebimento da nota fiscal ou instrumento de cobrança equivalente pela Administração, após a verificação da qualidade e quantidade do material e consequente aceitação mediante termo detalhado.</w:t>
      </w:r>
    </w:p>
    <w:p w14:paraId="22BF907F" w14:textId="77777777" w:rsidR="00E878FB" w:rsidRDefault="00C43B83">
      <w:pPr>
        <w:pStyle w:val="Nivel2"/>
        <w:spacing w:afterLines="120" w:after="288" w:line="312" w:lineRule="auto"/>
        <w:ind w:left="0" w:firstLine="0"/>
        <w:rPr>
          <w:color w:val="auto"/>
          <w:lang w:eastAsia="en-US"/>
        </w:rPr>
      </w:pPr>
      <w:r>
        <w:rPr>
          <w:lang w:eastAsia="en-US"/>
        </w:rPr>
        <w:t xml:space="preserve">Para as contratações decorrentes de despesas cujos valores não ultrapassem o limite de que trata o </w:t>
      </w:r>
      <w:hyperlink r:id="rId49" w:anchor="art75" w:history="1">
        <w:r>
          <w:rPr>
            <w:rStyle w:val="Hyperlink"/>
            <w:lang w:eastAsia="en-US"/>
          </w:rPr>
          <w:t>inciso II do art. 75 da Lei nº 14.133, de 2021</w:t>
        </w:r>
      </w:hyperlink>
      <w:r>
        <w:rPr>
          <w:lang w:eastAsia="en-US"/>
        </w:rPr>
        <w:t xml:space="preserve">, </w:t>
      </w:r>
      <w:r>
        <w:rPr>
          <w:color w:val="auto"/>
          <w:lang w:eastAsia="en-US"/>
        </w:rPr>
        <w:t>o prazo máximo para o recebimento definitivo será de até 2 (dois) dias úteis.</w:t>
      </w:r>
    </w:p>
    <w:p w14:paraId="2A17234B" w14:textId="77777777" w:rsidR="00E878FB" w:rsidRDefault="00C43B83">
      <w:pPr>
        <w:pStyle w:val="Nivel2"/>
        <w:spacing w:afterLines="120" w:after="288" w:line="312" w:lineRule="auto"/>
        <w:ind w:left="0" w:firstLine="0"/>
        <w:rPr>
          <w:lang w:eastAsia="en-US"/>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14:paraId="54B1AED7" w14:textId="77777777" w:rsidR="00E878FB" w:rsidRDefault="00C43B83">
      <w:pPr>
        <w:pStyle w:val="Nivel2"/>
        <w:spacing w:afterLines="120" w:after="288" w:line="312" w:lineRule="auto"/>
        <w:ind w:left="0" w:firstLine="0"/>
        <w:rPr>
          <w:lang w:eastAsia="en-US"/>
        </w:rPr>
      </w:pPr>
      <w:r>
        <w:rPr>
          <w:bCs/>
          <w:lang w:eastAsia="en-US"/>
        </w:rPr>
        <w:t xml:space="preserve">No caso de controvérsia sobre a execução do objeto, quanto à dimensão, qualidade e quantidade, deverá ser observado o teor do </w:t>
      </w:r>
      <w:hyperlink r:id="rId50" w:anchor="art143" w:history="1">
        <w:r>
          <w:rPr>
            <w:rStyle w:val="Hyperlink"/>
            <w:bCs/>
            <w:lang w:eastAsia="en-US"/>
          </w:rPr>
          <w:t>art. 143 da Lei nº 14.133, de 2021</w:t>
        </w:r>
      </w:hyperlink>
      <w:r>
        <w:rPr>
          <w:bCs/>
          <w:lang w:eastAsia="en-US"/>
        </w:rPr>
        <w:t>, comunicando-se à empresa para emissão de Nota Fiscal no que pertine à parcela incontroversa da execução do objeto, para efeito de liquidação e pagamento.</w:t>
      </w:r>
    </w:p>
    <w:p w14:paraId="3F8D4998" w14:textId="77777777" w:rsidR="00E878FB" w:rsidRDefault="00C43B83">
      <w:pPr>
        <w:pStyle w:val="Nivel2"/>
        <w:spacing w:afterLines="120" w:after="288" w:line="312" w:lineRule="auto"/>
        <w:ind w:left="0" w:firstLine="0"/>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A4D1DBE" w14:textId="77777777" w:rsidR="00E878FB" w:rsidRDefault="00C43B83">
      <w:pPr>
        <w:pStyle w:val="Nivel2"/>
        <w:spacing w:afterLines="120" w:after="288" w:line="312" w:lineRule="auto"/>
        <w:ind w:left="0" w:firstLine="0"/>
        <w:rPr>
          <w:lang w:eastAsia="en-US"/>
        </w:rPr>
      </w:pPr>
      <w:r>
        <w:rPr>
          <w:lang w:eastAsia="en-US"/>
        </w:rPr>
        <w:t>O recebimento provisório ou definitivo não excluirá a responsabilidade civil pela solidez e pela segurança do serviço nem a responsabilidade ético-profissional pela perfeita execução do contrato.</w:t>
      </w:r>
    </w:p>
    <w:p w14:paraId="6B7ACD79" w14:textId="77777777" w:rsidR="00E878FB" w:rsidRDefault="00C43B83">
      <w:pPr>
        <w:pStyle w:val="Nvel1-SemNum"/>
        <w:spacing w:before="120" w:afterLines="120" w:after="288" w:line="312" w:lineRule="auto"/>
        <w:ind w:left="0"/>
        <w:rPr>
          <w:color w:val="auto"/>
          <w:lang w:eastAsia="en-US"/>
        </w:rPr>
      </w:pPr>
      <w:r>
        <w:rPr>
          <w:color w:val="auto"/>
          <w:lang w:eastAsia="en-US"/>
        </w:rPr>
        <w:t>Liquidação</w:t>
      </w:r>
    </w:p>
    <w:p w14:paraId="612997C9" w14:textId="77777777" w:rsidR="00E878FB" w:rsidRDefault="00C43B83">
      <w:pPr>
        <w:pStyle w:val="Nivel2"/>
        <w:spacing w:afterLines="120" w:after="288" w:line="312" w:lineRule="auto"/>
        <w:ind w:left="0" w:firstLine="0"/>
        <w:rPr>
          <w:lang w:eastAsia="en-US"/>
        </w:rPr>
      </w:pPr>
      <w:r>
        <w:rPr>
          <w:lang w:eastAsia="en-US"/>
        </w:rPr>
        <w:t xml:space="preserve">Recebida a Nota Fiscal ou documento de cobrança equivalente, correrá o prazo de dez dias úteis para fins de liquidação, na forma desta seção, prorrogáveis por igual período, nos termos do </w:t>
      </w:r>
      <w:hyperlink r:id="rId51" w:anchor="art7§2" w:history="1">
        <w:r>
          <w:rPr>
            <w:rStyle w:val="Hyperlink"/>
            <w:lang w:eastAsia="en-US"/>
          </w:rPr>
          <w:t>art. 7º, §2º da Instrução Normativa SEGES/ME nº 77/2022</w:t>
        </w:r>
      </w:hyperlink>
      <w:r>
        <w:rPr>
          <w:lang w:eastAsia="en-US"/>
        </w:rPr>
        <w:t>.</w:t>
      </w:r>
    </w:p>
    <w:p w14:paraId="13B0EB8A" w14:textId="77777777" w:rsidR="00E878FB" w:rsidRDefault="00C43B83">
      <w:pPr>
        <w:pStyle w:val="Nivel3"/>
        <w:spacing w:afterLines="120" w:after="288" w:line="312" w:lineRule="auto"/>
        <w:ind w:left="0" w:firstLine="709"/>
      </w:pPr>
      <w:r>
        <w:t xml:space="preserve">O prazo de que trata o item anterior será reduzido à metade, mantendo-se a possibilidade de prorrogação, no caso de contratações decorrentes de despesas cujos valores não ultrapassem o limite de que trata o </w:t>
      </w:r>
      <w:hyperlink r:id="rId52" w:anchor="art75" w:history="1">
        <w:r>
          <w:rPr>
            <w:rStyle w:val="Hyperlink"/>
          </w:rPr>
          <w:t>inciso II do art. 75 da Lei nº 14.133, de 2021</w:t>
        </w:r>
      </w:hyperlink>
      <w:r>
        <w:t>.</w:t>
      </w:r>
    </w:p>
    <w:p w14:paraId="0548C7BB" w14:textId="77777777" w:rsidR="00E878FB" w:rsidRDefault="00C43B83">
      <w:pPr>
        <w:pStyle w:val="Nivel2"/>
        <w:spacing w:afterLines="120" w:after="288" w:line="312" w:lineRule="auto"/>
        <w:ind w:left="0" w:firstLine="0"/>
        <w:rPr>
          <w:lang w:eastAsia="en-US"/>
        </w:rPr>
      </w:pPr>
      <w:r>
        <w:rPr>
          <w:lang w:eastAsia="en-US"/>
        </w:rPr>
        <w:t xml:space="preserve">Para fins de liquidação, o setor competente deverá verificar se a nota fiscal ou instrumento de cobrança equivalente apresentado expressa os elementos necessários e essenciais do documento, tais como: </w:t>
      </w:r>
    </w:p>
    <w:p w14:paraId="5423060F" w14:textId="77777777" w:rsidR="00E878FB" w:rsidRDefault="00C43B83">
      <w:pPr>
        <w:numPr>
          <w:ilvl w:val="0"/>
          <w:numId w:val="9"/>
        </w:numPr>
        <w:suppressAutoHyphens/>
        <w:spacing w:before="120" w:afterLines="120" w:after="288" w:line="312" w:lineRule="auto"/>
        <w:ind w:left="851" w:firstLine="0"/>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lastRenderedPageBreak/>
        <w:t>o prazo de validade;</w:t>
      </w:r>
    </w:p>
    <w:p w14:paraId="5EAC3EF8" w14:textId="77777777" w:rsidR="00E878FB" w:rsidRDefault="00C43B83">
      <w:pPr>
        <w:numPr>
          <w:ilvl w:val="0"/>
          <w:numId w:val="9"/>
        </w:numPr>
        <w:suppressAutoHyphens/>
        <w:spacing w:before="120" w:afterLines="120" w:after="288" w:line="312" w:lineRule="auto"/>
        <w:ind w:left="851" w:firstLine="0"/>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a data da emissão; </w:t>
      </w:r>
    </w:p>
    <w:p w14:paraId="10F8A1EA" w14:textId="77777777" w:rsidR="00E878FB" w:rsidRDefault="00C43B83">
      <w:pPr>
        <w:numPr>
          <w:ilvl w:val="0"/>
          <w:numId w:val="9"/>
        </w:numPr>
        <w:suppressAutoHyphens/>
        <w:spacing w:before="120" w:afterLines="120" w:after="288" w:line="312" w:lineRule="auto"/>
        <w:ind w:left="851" w:firstLine="0"/>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os dados do contrato e do órgão contratante; </w:t>
      </w:r>
    </w:p>
    <w:p w14:paraId="2D683E1D" w14:textId="77777777" w:rsidR="00E878FB" w:rsidRDefault="00C43B83">
      <w:pPr>
        <w:numPr>
          <w:ilvl w:val="0"/>
          <w:numId w:val="9"/>
        </w:numPr>
        <w:suppressAutoHyphens/>
        <w:spacing w:before="120" w:afterLines="120" w:after="288" w:line="312" w:lineRule="auto"/>
        <w:ind w:left="851" w:firstLine="0"/>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o período respectivo de execução do contrato; </w:t>
      </w:r>
    </w:p>
    <w:p w14:paraId="1323A98B" w14:textId="77777777" w:rsidR="00E878FB" w:rsidRDefault="00C43B83">
      <w:pPr>
        <w:numPr>
          <w:ilvl w:val="0"/>
          <w:numId w:val="9"/>
        </w:numPr>
        <w:suppressAutoHyphens/>
        <w:spacing w:before="120" w:afterLines="120" w:after="288" w:line="312" w:lineRule="auto"/>
        <w:ind w:left="851" w:firstLine="0"/>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 xml:space="preserve">o valor a pagar; e </w:t>
      </w:r>
    </w:p>
    <w:p w14:paraId="5A2BE627" w14:textId="77777777" w:rsidR="00E878FB" w:rsidRDefault="00C43B83">
      <w:pPr>
        <w:numPr>
          <w:ilvl w:val="0"/>
          <w:numId w:val="9"/>
        </w:numPr>
        <w:suppressAutoHyphens/>
        <w:spacing w:before="120" w:afterLines="120" w:after="288" w:line="312" w:lineRule="auto"/>
        <w:ind w:left="851" w:firstLine="0"/>
        <w:contextualSpacing/>
        <w:jc w:val="both"/>
        <w:rPr>
          <w:rFonts w:ascii="Arial" w:eastAsia="Calibri" w:hAnsi="Arial" w:cs="Arial"/>
          <w:color w:val="000000"/>
          <w:sz w:val="20"/>
          <w:szCs w:val="20"/>
          <w:lang w:eastAsia="en-US"/>
        </w:rPr>
      </w:pPr>
      <w:r>
        <w:rPr>
          <w:rFonts w:ascii="Arial" w:eastAsia="Calibri" w:hAnsi="Arial" w:cs="Arial"/>
          <w:color w:val="000000"/>
          <w:sz w:val="20"/>
          <w:szCs w:val="20"/>
          <w:lang w:eastAsia="en-US"/>
        </w:rPr>
        <w:t>eventual destaque do valor de retenções tributárias cabíveis.</w:t>
      </w:r>
    </w:p>
    <w:p w14:paraId="612949E5" w14:textId="77777777" w:rsidR="00E878FB" w:rsidRDefault="00C43B83">
      <w:pPr>
        <w:pStyle w:val="Nivel2"/>
        <w:spacing w:afterLines="120" w:after="288" w:line="312" w:lineRule="auto"/>
        <w:ind w:left="0" w:firstLine="0"/>
        <w:rPr>
          <w:lang w:eastAsia="en-US"/>
        </w:rPr>
      </w:pPr>
      <w:r>
        <w:rPr>
          <w:rFonts w:eastAsia="Calibri"/>
          <w:lang w:eastAsia="en-US"/>
        </w:rPr>
        <w:t xml:space="preserve"> 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14:paraId="0804CD55" w14:textId="77777777" w:rsidR="00E878FB" w:rsidRDefault="00C43B83">
      <w:pPr>
        <w:pStyle w:val="Nivel2"/>
        <w:spacing w:afterLines="120" w:after="288" w:line="312" w:lineRule="auto"/>
        <w:ind w:left="0" w:firstLine="0"/>
        <w:rPr>
          <w:lang w:eastAsia="en-US"/>
        </w:rPr>
      </w:pPr>
      <w:r>
        <w:rPr>
          <w:lang w:eastAsia="en-US"/>
        </w:rPr>
        <w:t xml:space="preserve"> 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hyperlink r:id="rId53" w:anchor="art68" w:history="1">
        <w:r>
          <w:rPr>
            <w:rStyle w:val="Hyperlink"/>
            <w:lang w:eastAsia="en-US"/>
          </w:rPr>
          <w:t xml:space="preserve">art. 68 da Lei nº 14.133, de 2021.  </w:t>
        </w:r>
      </w:hyperlink>
      <w:r>
        <w:rPr>
          <w:lang w:eastAsia="en-US"/>
        </w:rPr>
        <w:t xml:space="preserve"> </w:t>
      </w:r>
    </w:p>
    <w:p w14:paraId="3B45E203" w14:textId="77777777" w:rsidR="00E878FB" w:rsidRDefault="00C43B83">
      <w:pPr>
        <w:pStyle w:val="Nivel2"/>
        <w:spacing w:afterLines="120" w:after="288" w:line="312" w:lineRule="auto"/>
        <w:ind w:left="0" w:firstLine="0"/>
        <w:rPr>
          <w:lang w:eastAsia="en-US"/>
        </w:rPr>
      </w:pPr>
      <w:r>
        <w:rPr>
          <w:lang w:eastAsia="en-US"/>
        </w:rPr>
        <w:t>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02FC6669" w14:textId="77777777" w:rsidR="00E878FB" w:rsidRDefault="00C43B83">
      <w:pPr>
        <w:pStyle w:val="Nivel2"/>
        <w:spacing w:afterLines="120" w:after="288" w:line="312" w:lineRule="auto"/>
        <w:ind w:left="0" w:firstLine="0"/>
        <w:rPr>
          <w:lang w:eastAsia="en-US"/>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27F16B0A" w14:textId="77777777" w:rsidR="00E878FB" w:rsidRDefault="00C43B83">
      <w:pPr>
        <w:pStyle w:val="Nivel2"/>
        <w:spacing w:afterLines="120" w:after="288" w:line="312" w:lineRule="auto"/>
        <w:ind w:left="0" w:firstLine="0"/>
        <w:rPr>
          <w:lang w:eastAsia="en-US"/>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A42E82" w14:textId="77777777" w:rsidR="00E878FB" w:rsidRDefault="00C43B83">
      <w:pPr>
        <w:pStyle w:val="Nivel2"/>
        <w:spacing w:afterLines="120" w:after="288" w:line="312" w:lineRule="auto"/>
        <w:ind w:left="0" w:firstLine="0"/>
        <w:rPr>
          <w:lang w:eastAsia="en-US"/>
        </w:rPr>
      </w:pPr>
      <w:r>
        <w:rPr>
          <w:lang w:eastAsia="en-US"/>
        </w:rPr>
        <w:t xml:space="preserve">Persistindo a irregularidade, o contratante deverá adotar as medidas necessárias à rescisão contratual nos autos do processo administrativo correspondente, assegurada ao contratado a ampla defesa. </w:t>
      </w:r>
    </w:p>
    <w:p w14:paraId="7C9913D4" w14:textId="77777777" w:rsidR="00E878FB" w:rsidRDefault="00C43B83">
      <w:pPr>
        <w:pStyle w:val="Nivel2"/>
        <w:spacing w:afterLines="120" w:after="288" w:line="312" w:lineRule="auto"/>
        <w:ind w:left="0" w:firstLine="0"/>
        <w:rPr>
          <w:lang w:eastAsia="en-US"/>
        </w:rPr>
      </w:pPr>
      <w:r>
        <w:rPr>
          <w:lang w:eastAsia="en-US"/>
        </w:rPr>
        <w:t xml:space="preserve">Havendo a efetiva execução do objeto, os pagamentos serão realizados normalmente, até que se decida pela rescisão do contrato, caso o contratado não regularize sua situação junto ao SICAF.  </w:t>
      </w:r>
    </w:p>
    <w:p w14:paraId="179AADB8" w14:textId="77777777" w:rsidR="00E878FB" w:rsidRDefault="00C43B83">
      <w:pPr>
        <w:pStyle w:val="Nvel1-SemNum"/>
        <w:spacing w:before="120" w:afterLines="120" w:after="288" w:line="312" w:lineRule="auto"/>
        <w:ind w:left="0"/>
        <w:rPr>
          <w:color w:val="auto"/>
          <w:lang w:eastAsia="en-US"/>
        </w:rPr>
      </w:pPr>
      <w:r>
        <w:rPr>
          <w:color w:val="auto"/>
          <w:lang w:eastAsia="en-US"/>
        </w:rPr>
        <w:t>Prazo de pagamento</w:t>
      </w:r>
    </w:p>
    <w:p w14:paraId="24072F82" w14:textId="77777777" w:rsidR="00E878FB" w:rsidRDefault="00C43B83">
      <w:pPr>
        <w:pStyle w:val="Nivel2"/>
        <w:spacing w:afterLines="120" w:after="288" w:line="312" w:lineRule="auto"/>
        <w:ind w:left="0" w:firstLine="0"/>
      </w:pPr>
      <w:r>
        <w:t xml:space="preserve">O pagamento será efetuado no prazo de até 10 (dez) dias úteis contados da finalização da liquidação da despesa, conforme seção anterior, nos termos da </w:t>
      </w:r>
      <w:hyperlink r:id="rId54" w:history="1">
        <w:r>
          <w:rPr>
            <w:rStyle w:val="Hyperlink"/>
          </w:rPr>
          <w:t>Instrução Normativa SEGES/ME nº 77, de 2022</w:t>
        </w:r>
      </w:hyperlink>
      <w:r>
        <w:t>.</w:t>
      </w:r>
    </w:p>
    <w:p w14:paraId="42B64287" w14:textId="77777777" w:rsidR="00E878FB" w:rsidRDefault="00C43B83">
      <w:pPr>
        <w:pStyle w:val="Nivel2"/>
        <w:spacing w:afterLines="120" w:after="288" w:line="312" w:lineRule="auto"/>
        <w:ind w:left="0" w:firstLine="0"/>
        <w:rPr>
          <w:lang w:eastAsia="en-US"/>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iCs/>
          <w:color w:val="auto"/>
          <w:lang w:eastAsia="en-US"/>
        </w:rPr>
        <w:t>IPCA</w:t>
      </w:r>
      <w:r>
        <w:rPr>
          <w:i/>
          <w:iCs/>
          <w:color w:val="FF0000"/>
          <w:lang w:eastAsia="en-US"/>
        </w:rPr>
        <w:t xml:space="preserve"> </w:t>
      </w:r>
      <w:r>
        <w:rPr>
          <w:lang w:eastAsia="en-US"/>
        </w:rPr>
        <w:t>de correção monetária.</w:t>
      </w:r>
    </w:p>
    <w:p w14:paraId="652306A3" w14:textId="77777777" w:rsidR="00E878FB" w:rsidRDefault="00C43B83">
      <w:pPr>
        <w:pStyle w:val="Nvel1-SemNum"/>
        <w:spacing w:before="120" w:afterLines="120" w:after="288" w:line="312" w:lineRule="auto"/>
        <w:ind w:left="0"/>
        <w:rPr>
          <w:color w:val="auto"/>
          <w:lang w:eastAsia="en-US"/>
        </w:rPr>
      </w:pPr>
      <w:r>
        <w:rPr>
          <w:color w:val="auto"/>
          <w:lang w:eastAsia="en-US"/>
        </w:rPr>
        <w:t>Forma de pagamento</w:t>
      </w:r>
    </w:p>
    <w:p w14:paraId="0BC29401" w14:textId="77777777" w:rsidR="00E878FB" w:rsidRDefault="00C43B83">
      <w:pPr>
        <w:pStyle w:val="Nivel2"/>
        <w:spacing w:afterLines="120" w:after="288" w:line="312" w:lineRule="auto"/>
        <w:ind w:left="0" w:firstLine="0"/>
        <w:rPr>
          <w:lang w:eastAsia="en-US"/>
        </w:rPr>
      </w:pPr>
      <w:r>
        <w:rPr>
          <w:lang w:eastAsia="en-US"/>
        </w:rPr>
        <w:t>O pagamento será realizado por meio de ordem bancária, para crédito em banco, agência e conta corrente indicados pelo contratado.</w:t>
      </w:r>
    </w:p>
    <w:p w14:paraId="42B49659" w14:textId="77777777" w:rsidR="00E878FB" w:rsidRDefault="00C43B83">
      <w:pPr>
        <w:pStyle w:val="Nivel2"/>
        <w:spacing w:afterLines="120" w:after="288" w:line="312" w:lineRule="auto"/>
        <w:ind w:left="0" w:firstLine="0"/>
        <w:rPr>
          <w:lang w:eastAsia="en-US"/>
        </w:rPr>
      </w:pPr>
      <w:r>
        <w:rPr>
          <w:lang w:eastAsia="en-US"/>
        </w:rPr>
        <w:lastRenderedPageBreak/>
        <w:t>Será considerada data do pagamento o dia em que constar como emitida a ordem bancária para pagamento.</w:t>
      </w:r>
    </w:p>
    <w:p w14:paraId="24F89FB6" w14:textId="77777777" w:rsidR="00E878FB" w:rsidRDefault="00C43B83">
      <w:pPr>
        <w:pStyle w:val="Nivel2"/>
        <w:spacing w:afterLines="120" w:after="288" w:line="312" w:lineRule="auto"/>
        <w:ind w:left="0" w:firstLine="0"/>
        <w:rPr>
          <w:lang w:eastAsia="en-US"/>
        </w:rPr>
      </w:pPr>
      <w:r>
        <w:rPr>
          <w:lang w:eastAsia="en-US"/>
        </w:rPr>
        <w:t>Quando do pagamento, será efetuada a retenção tributária prevista na legislação aplicável.</w:t>
      </w:r>
    </w:p>
    <w:p w14:paraId="7113D89D" w14:textId="77777777" w:rsidR="00E878FB" w:rsidRDefault="00C43B83">
      <w:pPr>
        <w:pStyle w:val="Nivel3"/>
        <w:spacing w:afterLines="120" w:after="288" w:line="312" w:lineRule="auto"/>
        <w:ind w:left="0" w:firstLine="709"/>
        <w:rPr>
          <w:lang w:eastAsia="en-US"/>
        </w:rPr>
      </w:pPr>
      <w:r>
        <w:rPr>
          <w:lang w:eastAsia="en-US"/>
        </w:rPr>
        <w:t>Independentemente do percentual de tributo inserido na planilha, quando houver, serão retidos na fonte, quando da realização do pagamento, os percentuais estabelecidos na legislação vigente.</w:t>
      </w:r>
    </w:p>
    <w:p w14:paraId="2169F486" w14:textId="77777777" w:rsidR="00E878FB" w:rsidRDefault="00C43B83">
      <w:pPr>
        <w:pStyle w:val="Nivel2"/>
        <w:spacing w:afterLines="120" w:after="288" w:line="312" w:lineRule="auto"/>
        <w:ind w:left="0" w:firstLine="0"/>
        <w:rPr>
          <w:lang w:eastAsia="en-US"/>
        </w:rPr>
      </w:pPr>
      <w:r>
        <w:rPr>
          <w:lang w:eastAsia="en-US"/>
        </w:rPr>
        <w:t xml:space="preserve">O contratado regularmente optante pelo Simples Nacional, nos termos da </w:t>
      </w:r>
      <w:hyperlink r:id="rId55" w:history="1">
        <w:r>
          <w:rPr>
            <w:rStyle w:val="Hyperlink"/>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8D68B53" w14:textId="77777777" w:rsidR="00E878FB" w:rsidRDefault="00C43B83">
      <w:pPr>
        <w:pStyle w:val="Nvel1-SemNum"/>
        <w:spacing w:before="120" w:afterLines="120" w:after="288" w:line="312" w:lineRule="auto"/>
        <w:ind w:left="0"/>
        <w:rPr>
          <w:color w:val="auto"/>
          <w:lang w:eastAsia="en-US"/>
        </w:rPr>
      </w:pPr>
      <w:r>
        <w:rPr>
          <w:color w:val="auto"/>
          <w:lang w:eastAsia="en-US"/>
        </w:rPr>
        <w:t>Cessão de crédito</w:t>
      </w:r>
    </w:p>
    <w:p w14:paraId="59ABD667" w14:textId="77777777" w:rsidR="00E878FB" w:rsidRDefault="00C43B83">
      <w:pPr>
        <w:pStyle w:val="Nivel2"/>
        <w:spacing w:afterLines="120" w:after="288" w:line="312" w:lineRule="auto"/>
        <w:ind w:left="0" w:firstLine="0"/>
        <w:rPr>
          <w:lang w:eastAsia="en-US"/>
        </w:rPr>
      </w:pPr>
      <w:r>
        <w:rPr>
          <w:lang w:eastAsia="en-US"/>
        </w:rPr>
        <w:t xml:space="preserve">É admitida a cessão fiduciária de direitos creditícios com instituição financeira, nos termos e de acordo com os procedimentos previstos na </w:t>
      </w:r>
      <w:hyperlink r:id="rId56" w:history="1">
        <w:r>
          <w:rPr>
            <w:rStyle w:val="Hyperlink"/>
            <w:lang w:eastAsia="en-US"/>
          </w:rPr>
          <w:t>Instrução Normativa SEGES/ME nº 53, de 8 de Julho de 2020</w:t>
        </w:r>
      </w:hyperlink>
      <w:r>
        <w:rPr>
          <w:lang w:eastAsia="en-US"/>
        </w:rPr>
        <w:t>, conforme as regras deste presente tópico.</w:t>
      </w:r>
    </w:p>
    <w:p w14:paraId="304D12F2" w14:textId="77777777" w:rsidR="00E878FB" w:rsidRDefault="00C43B83">
      <w:pPr>
        <w:pStyle w:val="Nivel3"/>
        <w:ind w:left="0" w:firstLine="567"/>
        <w:rPr>
          <w:lang w:eastAsia="en-US"/>
        </w:rPr>
      </w:pPr>
      <w:r>
        <w:rPr>
          <w:lang w:eastAsia="en-US"/>
        </w:rPr>
        <w:t>As cessões de crédito não abrangidas pela Instrução Normativa SEGES/ME nº 53, de 8 de julho de 2020 dependerão de prévia aprovação do contratante.</w:t>
      </w:r>
    </w:p>
    <w:p w14:paraId="17DCAC7A" w14:textId="77777777" w:rsidR="00E878FB" w:rsidRDefault="00C43B83">
      <w:pPr>
        <w:pStyle w:val="Nivel2"/>
        <w:ind w:left="0" w:firstLine="0"/>
        <w:rPr>
          <w:lang w:eastAsia="en-US"/>
        </w:rPr>
      </w:pPr>
      <w:r>
        <w:rPr>
          <w:lang w:eastAsia="en-US"/>
        </w:rPr>
        <w:t>A eficácia da cessão de crédito</w:t>
      </w:r>
      <w:r>
        <w:t xml:space="preserve"> não abrangidas pela Instrução Normativa SEGES/ME nº 53, de 8 de julho de 2020,</w:t>
      </w:r>
      <w:r>
        <w:rPr>
          <w:lang w:eastAsia="en-US"/>
        </w:rPr>
        <w:t xml:space="preserve"> em relação à Administração, está condicionada à celebração de termo aditivo ao contrato administrativo.</w:t>
      </w:r>
    </w:p>
    <w:p w14:paraId="07D180A4" w14:textId="77777777" w:rsidR="00E878FB" w:rsidRDefault="00C43B83">
      <w:pPr>
        <w:pStyle w:val="Nivel2"/>
        <w:spacing w:afterLines="120" w:after="288" w:line="312" w:lineRule="auto"/>
        <w:ind w:left="0" w:firstLine="0"/>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57" w:anchor=":~:text=LEI%20N%C2%BA%208.429%2C%20DE%202%20DE%20JUNHO%20DE%201992&amp;text=Disp%C3%B5e%20sobre%20as%20san%C3%A7%C3%B5es%20aplic%C3%A1veis,fundacional%20e%20d%C3%A1%20outras%20provid%C3%AAncias." w:history="1">
        <w:r>
          <w:rPr>
            <w:rStyle w:val="Hyperlink"/>
            <w:lang w:eastAsia="en-US"/>
          </w:rPr>
          <w:t>o art. 12 da Lei nº 8.429, de 1992</w:t>
        </w:r>
      </w:hyperlink>
      <w:r>
        <w:rPr>
          <w:lang w:eastAsia="en-US"/>
        </w:rPr>
        <w:t xml:space="preserve">, tudo nos termos do </w:t>
      </w:r>
      <w:hyperlink r:id="rId58" w:history="1">
        <w:r>
          <w:rPr>
            <w:rStyle w:val="Hyperlink"/>
            <w:lang w:eastAsia="en-US"/>
          </w:rPr>
          <w:t>Parecer JL-01, de 18 de maio de 2020.</w:t>
        </w:r>
        <w:bookmarkStart w:id="3" w:name="_Hlk114498447"/>
        <w:bookmarkEnd w:id="3"/>
      </w:hyperlink>
    </w:p>
    <w:p w14:paraId="0B40CF86" w14:textId="77777777" w:rsidR="00E878FB" w:rsidRDefault="00C43B83">
      <w:pPr>
        <w:pStyle w:val="Nivel2"/>
        <w:spacing w:afterLines="120" w:after="288" w:line="312" w:lineRule="auto"/>
        <w:ind w:left="0" w:firstLine="0"/>
        <w:rPr>
          <w:lang w:eastAsia="en-US"/>
        </w:rPr>
      </w:pPr>
      <w:r>
        <w:rPr>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bookmarkStart w:id="4" w:name="_Hlk114498479"/>
      <w:bookmarkEnd w:id="4"/>
      <w:r>
        <w:rPr>
          <w:lang w:eastAsia="en-US"/>
        </w:rPr>
        <w:t>.</w:t>
      </w:r>
    </w:p>
    <w:p w14:paraId="50660725" w14:textId="77777777" w:rsidR="00E878FB" w:rsidRDefault="00C43B83">
      <w:pPr>
        <w:pStyle w:val="Nivel2"/>
        <w:spacing w:afterLines="120" w:after="288" w:line="312" w:lineRule="auto"/>
        <w:ind w:left="0" w:firstLine="0"/>
        <w:rPr>
          <w:lang w:eastAsia="en-US"/>
        </w:rPr>
      </w:pPr>
      <w:r>
        <w:rPr>
          <w:lang w:eastAsia="en-US"/>
        </w:rPr>
        <w:t>A cessão de crédito não afetará a execução do objeto contratado, que continuará sob a integral responsabilidade do contratado.</w:t>
      </w:r>
    </w:p>
    <w:p w14:paraId="752CEA82" w14:textId="77777777" w:rsidR="00E878FB" w:rsidRDefault="00C43B83">
      <w:pPr>
        <w:pStyle w:val="Nivel2"/>
        <w:numPr>
          <w:ilvl w:val="0"/>
          <w:numId w:val="0"/>
        </w:numPr>
        <w:spacing w:afterLines="120" w:after="288" w:line="312" w:lineRule="auto"/>
        <w:rPr>
          <w:b/>
          <w:lang w:eastAsia="en-US"/>
        </w:rPr>
      </w:pPr>
      <w:r>
        <w:rPr>
          <w:b/>
          <w:lang w:eastAsia="en-US"/>
        </w:rPr>
        <w:t>Reajuste</w:t>
      </w:r>
    </w:p>
    <w:p w14:paraId="572D75C9" w14:textId="77777777" w:rsidR="00E878FB" w:rsidRDefault="00C43B83">
      <w:pPr>
        <w:pStyle w:val="Nivel2"/>
        <w:spacing w:afterLines="120" w:after="288" w:line="312" w:lineRule="auto"/>
        <w:ind w:left="0" w:firstLine="0"/>
        <w:rPr>
          <w:color w:val="FF0000"/>
          <w:lang w:eastAsia="en-US"/>
        </w:rPr>
      </w:pPr>
      <w:r>
        <w:rPr>
          <w:color w:val="auto"/>
          <w:shd w:val="clear" w:color="auto" w:fill="FFFFFF"/>
        </w:rPr>
        <w:t xml:space="preserve">Os preços inicialmente contratados são fixos e irreajustáveis no prazo de um ano contado da data do orçamento estimado, em 25/03/2025. </w:t>
      </w:r>
    </w:p>
    <w:p w14:paraId="060C83E7" w14:textId="77777777" w:rsidR="00E878FB" w:rsidRDefault="00C43B83">
      <w:pPr>
        <w:pStyle w:val="Nivel2"/>
        <w:spacing w:afterLines="120" w:after="288" w:line="312" w:lineRule="auto"/>
        <w:ind w:left="0" w:firstLine="0"/>
        <w:rPr>
          <w:color w:val="auto"/>
          <w:lang w:eastAsia="en-US"/>
        </w:rPr>
      </w:pPr>
      <w:r>
        <w:rPr>
          <w:color w:val="auto"/>
          <w:shd w:val="clear" w:color="auto" w:fill="FFFFFF"/>
        </w:rPr>
        <w:t>Após o interregno de um ano, e independentemente de pedido do contratado, os preços iniciais serão reajustados, mediante a aplicação, pelo contratante, do índice IPCA, exclusivamente para as obrigações iniciadas e concluídas após a ocorrência da anualidade.</w:t>
      </w:r>
    </w:p>
    <w:p w14:paraId="292CED44" w14:textId="77777777" w:rsidR="00E878FB" w:rsidRDefault="00C43B83">
      <w:pPr>
        <w:pStyle w:val="Nivel2"/>
        <w:spacing w:afterLines="120" w:after="288" w:line="312" w:lineRule="auto"/>
        <w:ind w:left="0" w:firstLine="0"/>
        <w:rPr>
          <w:color w:val="auto"/>
          <w:lang w:eastAsia="en-US"/>
        </w:rPr>
      </w:pPr>
      <w:r>
        <w:rPr>
          <w:color w:val="auto"/>
          <w:shd w:val="clear" w:color="auto" w:fill="FFFFFF"/>
        </w:rPr>
        <w:lastRenderedPageBreak/>
        <w:t>Nos reajustes subsequentes ao primeiro, o interregno mínimo de um ano será contado a partir dos efeitos financeiros do último reajuste.</w:t>
      </w:r>
    </w:p>
    <w:p w14:paraId="3B9713F5" w14:textId="77777777" w:rsidR="00E878FB" w:rsidRDefault="00C43B83">
      <w:pPr>
        <w:pStyle w:val="Nivel2"/>
        <w:spacing w:afterLines="120" w:after="288" w:line="312" w:lineRule="auto"/>
        <w:ind w:left="0" w:firstLine="0"/>
        <w:rPr>
          <w:color w:val="auto"/>
          <w:lang w:eastAsia="en-US"/>
        </w:rPr>
      </w:pPr>
      <w:r>
        <w:rPr>
          <w:color w:val="auto"/>
          <w:shd w:val="clear" w:color="auto" w:fill="FFFFFF"/>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2DE57812" w14:textId="77777777" w:rsidR="00E878FB" w:rsidRDefault="00C43B83">
      <w:pPr>
        <w:pStyle w:val="Nivel2"/>
        <w:spacing w:afterLines="120" w:after="288" w:line="312" w:lineRule="auto"/>
        <w:ind w:left="0" w:firstLine="0"/>
        <w:rPr>
          <w:color w:val="auto"/>
          <w:lang w:eastAsia="en-US"/>
        </w:rPr>
      </w:pPr>
      <w:r>
        <w:rPr>
          <w:color w:val="auto"/>
          <w:shd w:val="clear" w:color="auto" w:fill="FFFFFF"/>
        </w:rPr>
        <w:t>Nas aferições finais, o(s) índice(s) utilizado(s) para reajuste será(ão), obrigatoriamente, o(s) definitivo(s).</w:t>
      </w:r>
    </w:p>
    <w:p w14:paraId="573C0AC0" w14:textId="77777777" w:rsidR="00E878FB" w:rsidRDefault="00C43B83">
      <w:pPr>
        <w:pStyle w:val="Nivel2"/>
        <w:spacing w:afterLines="120" w:after="288" w:line="312" w:lineRule="auto"/>
        <w:ind w:left="0" w:firstLine="0"/>
        <w:rPr>
          <w:color w:val="auto"/>
          <w:lang w:eastAsia="en-US"/>
        </w:rPr>
      </w:pPr>
      <w:r>
        <w:rPr>
          <w:color w:val="auto"/>
          <w:shd w:val="clear" w:color="auto" w:fill="FFFFFF"/>
        </w:rPr>
        <w:t>Caso o(s) índice(s) estabelecido(s) para reajustamento venha(m) a ser extinto(s) ou de qualquer forma não possa(m) mais ser utilizado(s), será(ão) adotado(s), em substituição, o(s) que vier(em) a ser determinado(s) pela legislação então em vigor.</w:t>
      </w:r>
    </w:p>
    <w:p w14:paraId="35755B24" w14:textId="77777777" w:rsidR="00E878FB" w:rsidRDefault="00C43B83">
      <w:pPr>
        <w:pStyle w:val="Nivel2"/>
        <w:spacing w:afterLines="120" w:after="288" w:line="312" w:lineRule="auto"/>
        <w:ind w:left="0" w:firstLine="0"/>
        <w:rPr>
          <w:color w:val="auto"/>
          <w:lang w:eastAsia="en-US"/>
        </w:rPr>
      </w:pPr>
      <w:r>
        <w:rPr>
          <w:color w:val="auto"/>
          <w:shd w:val="clear" w:color="auto" w:fill="FFFFFF"/>
        </w:rPr>
        <w:t>Na ausência de previsão legal quanto ao índice substituto, as partes elegerão novo índice oficial, para reajustamento do preço do valor remanescente, por meio de termo aditivo.</w:t>
      </w:r>
    </w:p>
    <w:p w14:paraId="7236436D" w14:textId="77777777" w:rsidR="00E878FB" w:rsidRDefault="00C43B83">
      <w:pPr>
        <w:pStyle w:val="Nivel2"/>
        <w:spacing w:afterLines="120" w:after="288" w:line="312" w:lineRule="auto"/>
        <w:ind w:left="0" w:firstLine="0"/>
        <w:rPr>
          <w:color w:val="auto"/>
          <w:lang w:eastAsia="en-US"/>
        </w:rPr>
      </w:pPr>
      <w:r>
        <w:rPr>
          <w:color w:val="auto"/>
          <w:shd w:val="clear" w:color="auto" w:fill="FFFFFF"/>
        </w:rPr>
        <w:t>O reajuste será realizado por apostilamento.</w:t>
      </w:r>
    </w:p>
    <w:p w14:paraId="26C59427" w14:textId="77777777" w:rsidR="00E878FB" w:rsidRDefault="00C43B83">
      <w:pPr>
        <w:pStyle w:val="Nivel01"/>
      </w:pPr>
      <w:r>
        <w:t>FORMA E CRITÉRIOS DE SELEÇÃO DO FORNECEDOR</w:t>
      </w:r>
    </w:p>
    <w:p w14:paraId="04D150D9" w14:textId="77777777" w:rsidR="00E878FB" w:rsidRDefault="00E878FB"/>
    <w:p w14:paraId="6D173C8B" w14:textId="77777777" w:rsidR="00E878FB" w:rsidRDefault="00C43B83">
      <w:pPr>
        <w:pStyle w:val="Nvel1-SemNum"/>
        <w:spacing w:before="120" w:afterLines="120" w:after="288" w:line="312" w:lineRule="auto"/>
        <w:ind w:left="0"/>
        <w:rPr>
          <w:color w:val="auto"/>
          <w:highlight w:val="yellow"/>
        </w:rPr>
      </w:pPr>
      <w:r>
        <w:rPr>
          <w:color w:val="auto"/>
          <w:lang w:eastAsia="en-US"/>
        </w:rPr>
        <w:t>Forma de seleção e critério de julgamento da proposta</w:t>
      </w:r>
    </w:p>
    <w:p w14:paraId="2F7A84AD" w14:textId="77777777" w:rsidR="00E878FB" w:rsidRDefault="00C43B83">
      <w:pPr>
        <w:pStyle w:val="Nivel2"/>
        <w:spacing w:afterLines="120" w:after="288" w:line="312" w:lineRule="auto"/>
        <w:ind w:left="0" w:firstLine="0"/>
      </w:pPr>
      <w:r>
        <w:rPr>
          <w:rFonts w:eastAsia="Arial"/>
        </w:rPr>
        <w:t>O fornecedor será selecionado por meio da realização de procedimento de LICITAÇÃO, na modalidade PREGÃO, sob a forma ELETRÔNICA, com adoção do critério de julgamento pelo</w:t>
      </w:r>
      <w:r>
        <w:rPr>
          <w:rFonts w:eastAsia="Arial"/>
          <w:color w:val="auto"/>
        </w:rPr>
        <w:t xml:space="preserve"> menor preço.</w:t>
      </w:r>
      <w:r>
        <w:rPr>
          <w:rFonts w:eastAsia="Arial"/>
          <w:color w:val="FF0000"/>
        </w:rPr>
        <w:t xml:space="preserve"> </w:t>
      </w:r>
    </w:p>
    <w:p w14:paraId="0A40B525" w14:textId="77777777" w:rsidR="00E878FB" w:rsidRDefault="00C43B83">
      <w:pPr>
        <w:pStyle w:val="Nivel2"/>
        <w:numPr>
          <w:ilvl w:val="0"/>
          <w:numId w:val="0"/>
        </w:numPr>
        <w:rPr>
          <w:b/>
        </w:rPr>
      </w:pPr>
      <w:r>
        <w:rPr>
          <w:b/>
        </w:rPr>
        <w:t>Forma de fornecimento</w:t>
      </w:r>
    </w:p>
    <w:p w14:paraId="6F720D2D" w14:textId="77777777" w:rsidR="00E878FB" w:rsidRDefault="00C43B83">
      <w:pPr>
        <w:pStyle w:val="Nivel2"/>
        <w:ind w:left="426"/>
        <w:rPr>
          <w:color w:val="auto"/>
        </w:rPr>
      </w:pPr>
      <w:r>
        <w:t xml:space="preserve">O fornecimento do objeto será </w:t>
      </w:r>
      <w:r>
        <w:rPr>
          <w:color w:val="auto"/>
        </w:rPr>
        <w:t>parcelado.</w:t>
      </w:r>
    </w:p>
    <w:p w14:paraId="05707528" w14:textId="77777777" w:rsidR="00E878FB" w:rsidRDefault="00E878FB">
      <w:pPr>
        <w:pStyle w:val="Nivel2"/>
        <w:numPr>
          <w:ilvl w:val="0"/>
          <w:numId w:val="0"/>
        </w:numPr>
        <w:ind w:left="426"/>
      </w:pPr>
    </w:p>
    <w:p w14:paraId="464B321C" w14:textId="77777777" w:rsidR="00E878FB" w:rsidRDefault="00C43B83">
      <w:pPr>
        <w:pStyle w:val="Nvel1-SemNum"/>
        <w:tabs>
          <w:tab w:val="clear" w:pos="567"/>
        </w:tabs>
        <w:spacing w:before="120" w:afterLines="120" w:after="288" w:line="312" w:lineRule="auto"/>
        <w:ind w:hanging="357"/>
        <w:rPr>
          <w:color w:val="auto"/>
        </w:rPr>
      </w:pPr>
      <w:r>
        <w:rPr>
          <w:color w:val="auto"/>
          <w:lang w:eastAsia="en-US"/>
        </w:rPr>
        <w:t>Exigências de habilitação</w:t>
      </w:r>
    </w:p>
    <w:p w14:paraId="4DCE26F3" w14:textId="77777777" w:rsidR="00E878FB" w:rsidRDefault="00C43B83">
      <w:pPr>
        <w:pStyle w:val="Nivel2"/>
        <w:spacing w:afterLines="120" w:after="288" w:line="312" w:lineRule="auto"/>
        <w:ind w:left="0" w:firstLine="0"/>
      </w:pPr>
      <w:r>
        <w:t>Para fins de habilitação, deverá o licitante comprovar os seguintes requisitos:</w:t>
      </w:r>
    </w:p>
    <w:p w14:paraId="78B91CC1" w14:textId="77777777" w:rsidR="00E878FB" w:rsidRDefault="00C43B83">
      <w:pPr>
        <w:pStyle w:val="Nvel1-SemNum"/>
        <w:spacing w:before="120" w:afterLines="120" w:after="288" w:line="312" w:lineRule="auto"/>
        <w:ind w:left="0"/>
        <w:rPr>
          <w:color w:val="auto"/>
          <w:lang w:eastAsia="zh-CN" w:bidi="hi-IN"/>
        </w:rPr>
      </w:pPr>
      <w:r>
        <w:rPr>
          <w:color w:val="auto"/>
          <w:lang w:eastAsia="zh-CN" w:bidi="hi-IN"/>
        </w:rPr>
        <w:t>Habilitação jurídica</w:t>
      </w:r>
    </w:p>
    <w:p w14:paraId="70910834" w14:textId="77777777" w:rsidR="00E878FB" w:rsidRDefault="00C43B83">
      <w:pPr>
        <w:pStyle w:val="Nivel2"/>
        <w:spacing w:afterLines="120" w:after="288" w:line="312" w:lineRule="auto"/>
        <w:ind w:left="0" w:firstLine="0"/>
      </w:pPr>
      <w:bookmarkStart w:id="5" w:name="_Ref115800561"/>
      <w:r>
        <w:rPr>
          <w:b/>
          <w:bCs/>
        </w:rPr>
        <w:t>Pessoa física:</w:t>
      </w:r>
      <w:r>
        <w:t xml:space="preserve"> cédula de identidade (RG) ou documento equivalente que, por força de lei, tenha validade para fins de identificação em todo o território nacional;</w:t>
      </w:r>
      <w:bookmarkEnd w:id="5"/>
    </w:p>
    <w:p w14:paraId="06F4A8E8" w14:textId="77777777" w:rsidR="00E878FB" w:rsidRDefault="00C43B83">
      <w:pPr>
        <w:pStyle w:val="Nivel2"/>
        <w:spacing w:afterLines="120" w:after="288" w:line="312" w:lineRule="auto"/>
        <w:ind w:left="0" w:firstLine="0"/>
      </w:pPr>
      <w:r>
        <w:rPr>
          <w:b/>
          <w:bCs/>
        </w:rPr>
        <w:t>Empresário individual:</w:t>
      </w:r>
      <w:r>
        <w:t xml:space="preserve"> inscrição no Registro Público de Empresas Mercantis, a cargo da Junta Comercial da respectiva sede; </w:t>
      </w:r>
    </w:p>
    <w:p w14:paraId="7300830D" w14:textId="77777777" w:rsidR="00E878FB" w:rsidRDefault="00C43B83">
      <w:pPr>
        <w:pStyle w:val="Nivel2"/>
        <w:spacing w:afterLines="120" w:after="288" w:line="312" w:lineRule="auto"/>
        <w:ind w:left="0" w:firstLine="0"/>
      </w:pPr>
      <w:r>
        <w:rPr>
          <w:b/>
          <w:bCs/>
        </w:rPr>
        <w:t>Microempreendedor Individual - MEI:</w:t>
      </w:r>
      <w:r>
        <w:t xml:space="preserve"> Certificado da Condição de Microempreendedor Individual - CCMEI, cuja aceitação ficará condicionada à verificação da autenticidade no sítio </w:t>
      </w:r>
      <w:hyperlink r:id="rId59" w:history="1">
        <w:r>
          <w:rPr>
            <w:rStyle w:val="Hyperlink"/>
          </w:rPr>
          <w:t>https://www.gov.br/empresas-e-negocios/pt-br/empreendedor</w:t>
        </w:r>
      </w:hyperlink>
      <w:r>
        <w:t xml:space="preserve">; </w:t>
      </w:r>
    </w:p>
    <w:p w14:paraId="75B08175" w14:textId="77777777" w:rsidR="00E878FB" w:rsidRDefault="00C43B83">
      <w:pPr>
        <w:pStyle w:val="Nivel2"/>
        <w:spacing w:afterLines="120" w:after="288" w:line="312" w:lineRule="auto"/>
        <w:ind w:left="0" w:firstLine="0"/>
      </w:pPr>
      <w:r>
        <w:rPr>
          <w:b/>
          <w:bCs/>
        </w:rPr>
        <w:t>Sociedade empresária, sociedade limitada unipessoal – SLU ou sociedade identificada como empresa individual de responsabilidade limitada - EIRELI:</w:t>
      </w:r>
      <w:r>
        <w:t xml:space="preserve"> inscrição do ato constitutivo, estatuto ou contrato social no Registro Público de Empresas Mercantis, a cargo da Junta Comercial da respectiva sede, acompanhada de documento comprobatório de seus administradores;</w:t>
      </w:r>
    </w:p>
    <w:p w14:paraId="0F634989" w14:textId="77777777" w:rsidR="00E878FB" w:rsidRDefault="00C43B83">
      <w:pPr>
        <w:pStyle w:val="Nivel2"/>
        <w:spacing w:afterLines="120" w:after="288" w:line="312" w:lineRule="auto"/>
        <w:ind w:left="0" w:firstLine="0"/>
      </w:pPr>
      <w:r>
        <w:rPr>
          <w:b/>
          <w:bCs/>
        </w:rPr>
        <w:lastRenderedPageBreak/>
        <w:t>Sociedade empresária estrangeira:</w:t>
      </w:r>
      <w: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0" w:history="1">
        <w:r>
          <w:rPr>
            <w:rStyle w:val="Hyperlink"/>
          </w:rPr>
          <w:t>Normativa DREI/ME n.º 77, de 18 de março de 2020</w:t>
        </w:r>
      </w:hyperlink>
      <w:r>
        <w:t>.</w:t>
      </w:r>
    </w:p>
    <w:p w14:paraId="6F08D320" w14:textId="77777777" w:rsidR="00E878FB" w:rsidRDefault="00C43B83">
      <w:pPr>
        <w:pStyle w:val="Nivel2"/>
        <w:spacing w:afterLines="120" w:after="288" w:line="312" w:lineRule="auto"/>
        <w:ind w:left="0" w:firstLine="0"/>
      </w:pPr>
      <w:r>
        <w:rPr>
          <w:b/>
          <w:bCs/>
        </w:rPr>
        <w:t xml:space="preserve">Sociedade simples: </w:t>
      </w:r>
      <w:r>
        <w:t>inscrição do ato constitutivo no Registro Civil de Pessoas Jurídicas do local de sua sede, acompanhada de documento comprobatório de seus administradores;</w:t>
      </w:r>
    </w:p>
    <w:p w14:paraId="409861F8" w14:textId="77777777" w:rsidR="00E878FB" w:rsidRDefault="00C43B83">
      <w:pPr>
        <w:pStyle w:val="Nivel2"/>
        <w:spacing w:afterLines="120" w:after="288" w:line="312" w:lineRule="auto"/>
        <w:ind w:left="0" w:firstLine="0"/>
      </w:pPr>
      <w:r>
        <w:rPr>
          <w:b/>
          <w:bCs/>
        </w:rPr>
        <w:t>Filial, sucursal ou agência de sociedade simples ou empresária:</w:t>
      </w:r>
      <w:r>
        <w:t xml:space="preserve"> inscrição do ato constitutivo da filial, sucursal ou agência da sociedade simples ou empresária, respectivamente, no Registro Civil das Pessoas Jurídicas ou no Registro Público de Empresas </w:t>
      </w:r>
      <w:bookmarkStart w:id="6" w:name="_Int_ySfCXwr4"/>
      <w:r>
        <w:t>Mercantis onde</w:t>
      </w:r>
      <w:bookmarkEnd w:id="6"/>
      <w:r>
        <w:t xml:space="preserve"> opera, com averbação no Registro onde tem sede a matriz</w:t>
      </w:r>
    </w:p>
    <w:p w14:paraId="30F33DF0" w14:textId="77777777" w:rsidR="00E878FB" w:rsidRDefault="00C43B83">
      <w:pPr>
        <w:pStyle w:val="Nivel2"/>
        <w:spacing w:afterLines="120" w:after="288" w:line="312" w:lineRule="auto"/>
        <w:ind w:left="0" w:firstLine="0"/>
      </w:pPr>
      <w:r>
        <w:rPr>
          <w:b/>
          <w:bCs/>
        </w:rPr>
        <w:t>Sociedade cooperativa:</w:t>
      </w:r>
      <w:r>
        <w:t xml:space="preserve"> ata de fundação e estatuto social, com a ata da assembleia que o aprovou, devidamente arquivado na Junta Comercial ou inscrito no Registro Civil das Pessoas Jurídicas da respectiva sede, além do registro de que trata o </w:t>
      </w:r>
      <w:hyperlink r:id="rId61" w:anchor="art107" w:history="1">
        <w:r>
          <w:rPr>
            <w:rStyle w:val="Hyperlink"/>
          </w:rPr>
          <w:t>art. 107 da Lei nº 5.764, de 16 de dezembro 1971</w:t>
        </w:r>
      </w:hyperlink>
      <w:r>
        <w:t>.</w:t>
      </w:r>
    </w:p>
    <w:p w14:paraId="7E9BE7AA" w14:textId="77777777" w:rsidR="00E878FB" w:rsidRDefault="00C43B83">
      <w:pPr>
        <w:pStyle w:val="Nivel2"/>
        <w:spacing w:afterLines="120" w:after="288" w:line="312" w:lineRule="auto"/>
        <w:ind w:left="0" w:firstLine="0"/>
      </w:pPr>
      <w:r>
        <w:rPr>
          <w:b/>
          <w:bCs/>
        </w:rPr>
        <w:t>Agricultor familiar:</w:t>
      </w:r>
      <w:r>
        <w:t xml:space="preserve"> Declaração de Aptidão ao Pronaf – DAP ou DAP-P válida, ou, ainda, outros documentos definidos pela Secretaria Especial de Agricultura Familiar e do Desenvolvimento Agrário, nos termos do</w:t>
      </w:r>
      <w:hyperlink r:id="rId62" w:anchor="art4§2" w:history="1">
        <w:r>
          <w:rPr>
            <w:rStyle w:val="Hyperlink"/>
          </w:rPr>
          <w:t xml:space="preserve"> art. 4º, §2º do Decreto nº 10.880, de 2 de dezembro de 2021</w:t>
        </w:r>
      </w:hyperlink>
      <w:r>
        <w:t>.</w:t>
      </w:r>
    </w:p>
    <w:p w14:paraId="3E136FE6" w14:textId="77777777" w:rsidR="00E878FB" w:rsidRDefault="00C43B83">
      <w:pPr>
        <w:pStyle w:val="Nivel2"/>
        <w:spacing w:afterLines="120" w:after="288" w:line="312" w:lineRule="auto"/>
        <w:ind w:left="0" w:firstLine="0"/>
      </w:pPr>
      <w:r>
        <w:rPr>
          <w:b/>
          <w:bCs/>
        </w:rPr>
        <w:t>Produtor Rural:</w:t>
      </w:r>
      <w:r>
        <w:t xml:space="preserve"> matrícula no Cadastro Específico do INSS – CEI, que comprove a qualificação como produtor rural pessoa física, nos termos da </w:t>
      </w:r>
      <w:hyperlink r:id="rId63" w:history="1">
        <w:r>
          <w:rPr>
            <w:rStyle w:val="Hyperlink"/>
          </w:rPr>
          <w:t>Instrução Normativa RFB n. 971, de 13 de novembro de 2009</w:t>
        </w:r>
      </w:hyperlink>
      <w:r>
        <w:t xml:space="preserve"> (arts. 17 a 19 e 165).</w:t>
      </w:r>
    </w:p>
    <w:p w14:paraId="0AB8B03C" w14:textId="77777777" w:rsidR="00E878FB" w:rsidRDefault="00C43B83">
      <w:pPr>
        <w:pStyle w:val="Nivel2"/>
        <w:spacing w:afterLines="120" w:after="288" w:line="312" w:lineRule="auto"/>
        <w:ind w:left="0" w:firstLine="0"/>
      </w:pPr>
      <w:r>
        <w:t>Os documentos apresentados deverão estar acompanhados de todas as alterações ou da consolidação respectiva.</w:t>
      </w:r>
    </w:p>
    <w:p w14:paraId="6A4DB3ED" w14:textId="77777777" w:rsidR="00E878FB" w:rsidRDefault="00C43B83">
      <w:pPr>
        <w:pStyle w:val="Nvel1-SemNum"/>
        <w:tabs>
          <w:tab w:val="clear" w:pos="567"/>
          <w:tab w:val="left" w:pos="357"/>
        </w:tabs>
        <w:spacing w:before="120" w:afterLines="120" w:after="288" w:line="312" w:lineRule="auto"/>
        <w:ind w:hanging="357"/>
        <w:rPr>
          <w:color w:val="auto"/>
          <w:lang w:eastAsia="zh-CN" w:bidi="hi-IN"/>
        </w:rPr>
      </w:pPr>
      <w:r>
        <w:rPr>
          <w:color w:val="auto"/>
          <w:lang w:eastAsia="zh-CN" w:bidi="hi-IN"/>
        </w:rPr>
        <w:t>Habilitação fiscal, social e trabalhista</w:t>
      </w:r>
    </w:p>
    <w:p w14:paraId="41FC8BE6" w14:textId="77777777" w:rsidR="00E878FB" w:rsidRDefault="00C43B83">
      <w:pPr>
        <w:pStyle w:val="Nivel2"/>
        <w:spacing w:afterLines="120" w:after="288" w:line="312" w:lineRule="auto"/>
        <w:ind w:left="0" w:hanging="6"/>
      </w:pPr>
      <w:r>
        <w:t>Prova de inscrição no Cadastro Nacional de Pessoas Jurídicas ou no Cadastro de Pessoas Físicas, conforme o caso;</w:t>
      </w:r>
    </w:p>
    <w:p w14:paraId="108FD99D" w14:textId="77777777" w:rsidR="00E878FB" w:rsidRDefault="00C43B83">
      <w:pPr>
        <w:pStyle w:val="Nivel2"/>
        <w:spacing w:afterLines="120" w:after="288" w:line="312" w:lineRule="auto"/>
        <w:ind w:left="0" w:hanging="6"/>
      </w:pPr>
      <w: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99C1474" w14:textId="77777777" w:rsidR="00E878FB" w:rsidRDefault="00C43B83">
      <w:pPr>
        <w:pStyle w:val="Nivel2"/>
        <w:spacing w:afterLines="120" w:after="288" w:line="312" w:lineRule="auto"/>
        <w:ind w:left="0" w:hanging="6"/>
      </w:pPr>
      <w:r>
        <w:t>Prova de regularidade com o Fundo de Garantia do Tempo de Serviço (FGTS);</w:t>
      </w:r>
    </w:p>
    <w:p w14:paraId="73C99DB9" w14:textId="77777777" w:rsidR="00E878FB" w:rsidRDefault="00C43B83">
      <w:pPr>
        <w:pStyle w:val="Nivel2"/>
        <w:spacing w:afterLines="120" w:after="288" w:line="312" w:lineRule="auto"/>
        <w:ind w:left="0" w:hanging="6"/>
      </w:pPr>
      <w: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18B4BE84" w14:textId="77777777" w:rsidR="00E878FB" w:rsidRDefault="00C43B83">
      <w:pPr>
        <w:pStyle w:val="Nivel2"/>
        <w:spacing w:afterLines="120" w:after="288" w:line="312" w:lineRule="auto"/>
        <w:ind w:left="0" w:hanging="6"/>
      </w:pPr>
      <w:r>
        <w:t xml:space="preserve">Prova de inscrição no cadastro de contribuintes </w:t>
      </w:r>
      <w:r>
        <w:rPr>
          <w:iCs/>
          <w:color w:val="auto"/>
        </w:rPr>
        <w:t xml:space="preserve">estadual </w:t>
      </w:r>
      <w:r>
        <w:t xml:space="preserve">relativo ao domicílio ou sede do fornecedor, pertinente ao seu ramo de atividade e compatível com o objeto contratual; </w:t>
      </w:r>
    </w:p>
    <w:p w14:paraId="68FD8E9D" w14:textId="77777777" w:rsidR="00E878FB" w:rsidRDefault="00C43B83">
      <w:pPr>
        <w:pStyle w:val="Nivel2"/>
        <w:spacing w:afterLines="120" w:after="288" w:line="312" w:lineRule="auto"/>
        <w:ind w:left="0" w:hanging="6"/>
      </w:pPr>
      <w:r>
        <w:t xml:space="preserve">Prova de regularidade com a Fazenda </w:t>
      </w:r>
      <w:r>
        <w:rPr>
          <w:iCs/>
          <w:color w:val="auto"/>
        </w:rPr>
        <w:t>Estadual</w:t>
      </w:r>
      <w:r>
        <w:rPr>
          <w:color w:val="auto"/>
        </w:rPr>
        <w:t xml:space="preserve"> </w:t>
      </w:r>
      <w:r>
        <w:t>do domicílio ou sede do fornecedor, relativa à atividade em cujo exercício contrata ou concorre;</w:t>
      </w:r>
    </w:p>
    <w:p w14:paraId="625513DF" w14:textId="77777777" w:rsidR="00E878FB" w:rsidRDefault="00C43B83">
      <w:pPr>
        <w:pStyle w:val="Nivel2"/>
        <w:spacing w:afterLines="120" w:after="288" w:line="312" w:lineRule="auto"/>
        <w:ind w:left="0" w:hanging="6"/>
      </w:pPr>
      <w:r>
        <w:lastRenderedPageBreak/>
        <w:t xml:space="preserve">Caso o fornecedor seja considerado isento dos </w:t>
      </w:r>
      <w:r>
        <w:rPr>
          <w:color w:val="auto"/>
        </w:rPr>
        <w:t xml:space="preserve">tributos </w:t>
      </w:r>
      <w:r>
        <w:rPr>
          <w:iCs/>
          <w:color w:val="auto"/>
        </w:rPr>
        <w:t>estaduais</w:t>
      </w:r>
      <w:r>
        <w:rPr>
          <w:color w:val="auto"/>
        </w:rPr>
        <w:t xml:space="preserve"> relacionados </w:t>
      </w:r>
      <w:r>
        <w:t>ao objeto contratual, deverá comprovar tal condição mediante a apresentação de declaração da Fazenda respectiva do seu domicílio ou sede, ou outra equivalente, na forma da lei.</w:t>
      </w:r>
    </w:p>
    <w:p w14:paraId="74E82EFF" w14:textId="77777777" w:rsidR="00E878FB" w:rsidRDefault="00C43B83">
      <w:pPr>
        <w:pStyle w:val="Nivel2"/>
        <w:spacing w:afterLines="120" w:after="288" w:line="312" w:lineRule="auto"/>
        <w:ind w:left="0" w:hanging="6"/>
      </w:pPr>
      <w: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0A5FD670" w14:textId="77777777" w:rsidR="00E878FB" w:rsidRDefault="00C43B83">
      <w:pPr>
        <w:pStyle w:val="Nvel1-SemNum"/>
        <w:spacing w:before="120" w:afterLines="120" w:after="288" w:line="312" w:lineRule="auto"/>
        <w:ind w:left="0"/>
        <w:rPr>
          <w:color w:val="auto"/>
          <w:lang w:eastAsia="zh-CN" w:bidi="hi-IN"/>
        </w:rPr>
      </w:pPr>
      <w:r>
        <w:rPr>
          <w:color w:val="auto"/>
          <w:lang w:eastAsia="zh-CN" w:bidi="hi-IN"/>
        </w:rPr>
        <w:t>Qualificação Técnica</w:t>
      </w:r>
    </w:p>
    <w:p w14:paraId="19B24C73" w14:textId="77777777" w:rsidR="00E878FB" w:rsidRDefault="00C43B83">
      <w:pPr>
        <w:pStyle w:val="Nvel2-Red"/>
        <w:spacing w:afterLines="120" w:after="288" w:line="312" w:lineRule="auto"/>
        <w:ind w:left="0" w:firstLine="0"/>
        <w:rPr>
          <w:i w:val="0"/>
          <w:color w:val="auto"/>
        </w:rPr>
      </w:pPr>
      <w:r>
        <w:rPr>
          <w:i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w:t>
      </w:r>
    </w:p>
    <w:p w14:paraId="682B8F5F" w14:textId="77777777" w:rsidR="00E878FB" w:rsidRDefault="00C43B83">
      <w:pPr>
        <w:pStyle w:val="Nvel3-R"/>
        <w:spacing w:afterLines="120" w:after="288" w:line="312" w:lineRule="auto"/>
        <w:ind w:left="0" w:firstLine="709"/>
        <w:rPr>
          <w:i w:val="0"/>
          <w:color w:val="auto"/>
          <w:shd w:val="clear" w:color="auto" w:fill="FFFF00"/>
        </w:rPr>
      </w:pPr>
      <w:r>
        <w:rPr>
          <w:i w:val="0"/>
          <w:color w:val="auto"/>
        </w:rPr>
        <w:t>Os atestados de capacidade técnica poderão ser apresentados em nome da matriz ou da filial do fornecedor.</w:t>
      </w:r>
    </w:p>
    <w:p w14:paraId="6A28272C" w14:textId="77777777" w:rsidR="00E878FB" w:rsidRDefault="00C43B83">
      <w:pPr>
        <w:pStyle w:val="Nvel3-R"/>
        <w:spacing w:afterLines="120" w:after="288" w:line="312" w:lineRule="auto"/>
        <w:ind w:left="0" w:firstLine="709"/>
        <w:rPr>
          <w:i w:val="0"/>
          <w:color w:val="auto"/>
        </w:rPr>
      </w:pPr>
      <w:r>
        <w:rPr>
          <w:i w:val="0"/>
          <w:color w:val="auto"/>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21739FE6" w14:textId="77777777" w:rsidR="00E878FB" w:rsidRDefault="00C43B83">
      <w:pPr>
        <w:pStyle w:val="Nivel2"/>
        <w:spacing w:afterLines="120" w:after="288" w:line="312" w:lineRule="auto"/>
        <w:ind w:left="0" w:firstLine="0"/>
      </w:pPr>
      <w:r>
        <w:t>Caso admitida a participação de cooperativas, será exigida a seguinte documentação complementar:</w:t>
      </w:r>
    </w:p>
    <w:p w14:paraId="6BC9F705" w14:textId="77777777" w:rsidR="00E878FB" w:rsidRDefault="00C43B83">
      <w:pPr>
        <w:pStyle w:val="Nivel3"/>
        <w:spacing w:afterLines="120" w:after="288" w:line="312" w:lineRule="auto"/>
        <w:ind w:left="170" w:firstLine="709"/>
      </w:pPr>
      <w: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64" w:anchor="art4" w:history="1">
        <w:r>
          <w:rPr>
            <w:rStyle w:val="Hyperlink"/>
          </w:rPr>
          <w:t>arts. 4º, inciso XI, 21, inciso I</w:t>
        </w:r>
      </w:hyperlink>
      <w:r>
        <w:t xml:space="preserve"> e </w:t>
      </w:r>
      <w:hyperlink r:id="rId65" w:anchor="art42" w:history="1">
        <w:r>
          <w:rPr>
            <w:rStyle w:val="Hyperlink"/>
          </w:rPr>
          <w:t>42, §§2º a 6º da Lei n. 5.764, de 1971</w:t>
        </w:r>
      </w:hyperlink>
      <w:r>
        <w:t>;</w:t>
      </w:r>
    </w:p>
    <w:p w14:paraId="3E166B0F" w14:textId="77777777" w:rsidR="00E878FB" w:rsidRDefault="00C43B83">
      <w:pPr>
        <w:pStyle w:val="Nivel3"/>
        <w:spacing w:afterLines="120" w:after="288" w:line="312" w:lineRule="auto"/>
        <w:ind w:left="0" w:firstLine="709"/>
      </w:pPr>
      <w:r>
        <w:t>A declaração de regularidade de situação do contribuinte individual – DRSCI, para cada um dos cooperados indicados;</w:t>
      </w:r>
    </w:p>
    <w:p w14:paraId="7D15FC2E" w14:textId="77777777" w:rsidR="00E878FB" w:rsidRDefault="00C43B83">
      <w:pPr>
        <w:pStyle w:val="Nivel3"/>
        <w:spacing w:afterLines="120" w:after="288" w:line="312" w:lineRule="auto"/>
        <w:ind w:left="0" w:firstLine="709"/>
      </w:pPr>
      <w:r>
        <w:t xml:space="preserve">A comprovação do capital social proporcional ao número de cooperados necessários à prestação do serviço; </w:t>
      </w:r>
    </w:p>
    <w:p w14:paraId="4F7879D4" w14:textId="77777777" w:rsidR="00E878FB" w:rsidRDefault="00C43B83">
      <w:pPr>
        <w:pStyle w:val="Nivel3"/>
        <w:spacing w:afterLines="120" w:after="288" w:line="312" w:lineRule="auto"/>
        <w:ind w:left="0" w:firstLine="709"/>
      </w:pPr>
      <w:r>
        <w:t xml:space="preserve">O registro previsto na </w:t>
      </w:r>
      <w:hyperlink r:id="rId66" w:anchor="art107" w:history="1">
        <w:r>
          <w:rPr>
            <w:rStyle w:val="Hyperlink"/>
          </w:rPr>
          <w:t>Lei n. 5.764, de 1971, art. 107</w:t>
        </w:r>
      </w:hyperlink>
      <w:r>
        <w:t>;</w:t>
      </w:r>
    </w:p>
    <w:p w14:paraId="5BE6A370" w14:textId="77777777" w:rsidR="00E878FB" w:rsidRDefault="00C43B83">
      <w:pPr>
        <w:pStyle w:val="Nivel3"/>
        <w:spacing w:afterLines="120" w:after="288" w:line="312" w:lineRule="auto"/>
        <w:ind w:left="0" w:firstLine="709"/>
      </w:pPr>
      <w:r>
        <w:t xml:space="preserve"> A comprovação de integração das respectivas quotas-partes por parte dos cooperados que executarão o contrato; e</w:t>
      </w:r>
    </w:p>
    <w:p w14:paraId="3A18EF55" w14:textId="77777777" w:rsidR="00E878FB" w:rsidRDefault="00C43B83">
      <w:pPr>
        <w:pStyle w:val="Nivel2"/>
        <w:ind w:left="0" w:firstLine="0"/>
      </w:pPr>
      <w: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69A25C14" w14:textId="77777777" w:rsidR="00E878FB" w:rsidRDefault="00C43B83">
      <w:pPr>
        <w:pStyle w:val="Nivel2"/>
        <w:ind w:left="0" w:firstLine="0"/>
      </w:pPr>
      <w:r>
        <w:t xml:space="preserve">A última auditoria contábil-financeira da cooperativa, conforme dispõe o </w:t>
      </w:r>
      <w:hyperlink r:id="rId67" w:anchor="art112" w:history="1">
        <w:r>
          <w:rPr>
            <w:rStyle w:val="Hyperlink"/>
          </w:rPr>
          <w:t>art. 112 da Lei n. 5.764, de 1971</w:t>
        </w:r>
      </w:hyperlink>
      <w:r>
        <w:t>, ou uma declaração, sob as penas da lei, de que tal auditoria não foi exigida pelo órgão fiscalizador.</w:t>
      </w:r>
    </w:p>
    <w:p w14:paraId="14B3610E" w14:textId="77777777" w:rsidR="00E878FB" w:rsidRDefault="00C43B83">
      <w:pPr>
        <w:pStyle w:val="Nivel01"/>
        <w:numPr>
          <w:ilvl w:val="0"/>
          <w:numId w:val="0"/>
        </w:numPr>
        <w:ind w:left="360" w:hanging="360"/>
        <w:rPr>
          <w:lang w:eastAsia="zh-CN" w:bidi="hi-IN"/>
        </w:rPr>
      </w:pPr>
      <w:r>
        <w:rPr>
          <w:lang w:eastAsia="zh-CN" w:bidi="hi-IN"/>
        </w:rPr>
        <w:lastRenderedPageBreak/>
        <w:t>Disposições gerais sobre habilitação</w:t>
      </w:r>
    </w:p>
    <w:p w14:paraId="409F1E3E" w14:textId="77777777" w:rsidR="00E878FB" w:rsidRDefault="00C43B83">
      <w:pPr>
        <w:pStyle w:val="Nivel2"/>
        <w:ind w:left="0" w:firstLine="0"/>
      </w:pPr>
      <w:r>
        <w:t>Quando permitida a participação de empresas estrangeiras que não funcionem no País, as exigências de habilitação serão atendidas mediante documentos equivalentes, inicialmente apresentados em tradução livre.</w:t>
      </w:r>
    </w:p>
    <w:p w14:paraId="3358074B" w14:textId="77777777" w:rsidR="00E878FB" w:rsidRDefault="00C43B83">
      <w:pPr>
        <w:pStyle w:val="Nivel2"/>
        <w:ind w:left="0" w:firstLine="0"/>
      </w:pPr>
      <w:r>
        <w:t>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14:paraId="531C88C2" w14:textId="77777777" w:rsidR="00E878FB" w:rsidRDefault="00C43B83">
      <w:pPr>
        <w:pStyle w:val="Nivel2"/>
        <w:ind w:left="0" w:firstLine="0"/>
      </w:pPr>
      <w:r>
        <w:t>Não serão aceitos documentos de habilitação com indicação de CNPJ/CPF diferentes, salvo aqueles legalmente permitidos.</w:t>
      </w:r>
    </w:p>
    <w:p w14:paraId="08B76361" w14:textId="77777777" w:rsidR="00E878FB" w:rsidRDefault="00C43B83">
      <w:pPr>
        <w:pStyle w:val="Nivel2"/>
        <w:ind w:left="0" w:firstLine="0"/>
      </w:pPr>
      <w:r>
        <w:t>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14:paraId="7E6C3F1A" w14:textId="77777777" w:rsidR="00E878FB" w:rsidRDefault="00C43B83">
      <w:pPr>
        <w:pStyle w:val="Nivel2"/>
        <w:ind w:left="0" w:firstLine="0"/>
      </w:pPr>
      <w:r>
        <w:t>Serão aceitos registros de CNPJ de fornecedor matriz e filial com diferenças de números de documentos pertinentes ao CND e ao CRF/FGTS, quando for comprovada a centralização do recolhimento dessas contribuições.</w:t>
      </w:r>
    </w:p>
    <w:p w14:paraId="19BDB17F" w14:textId="77777777" w:rsidR="00E878FB" w:rsidRDefault="00C43B83">
      <w:pPr>
        <w:pStyle w:val="Nivel01"/>
        <w:spacing w:before="120" w:afterLines="120" w:after="288" w:line="312" w:lineRule="auto"/>
      </w:pPr>
      <w:r>
        <w:t>ESTIMATIVAS DO VALOR DA CONTRATAÇÃO</w:t>
      </w:r>
    </w:p>
    <w:p w14:paraId="1D4F2217" w14:textId="77777777" w:rsidR="00E878FB" w:rsidRDefault="00C43B83">
      <w:pPr>
        <w:pStyle w:val="Nivel2"/>
        <w:ind w:left="0" w:hanging="6"/>
        <w:rPr>
          <w:b/>
          <w:bCs/>
        </w:rPr>
      </w:pPr>
      <w:r>
        <w:t>O custo estimado total da contratação é de R$ 1.537.828,07 (um milhão, quinhentos e trinta sete mil, oitocentos e vinte oito reais e sete centavos),</w:t>
      </w:r>
      <w:r>
        <w:rPr>
          <w:color w:val="FF0000"/>
        </w:rPr>
        <w:t xml:space="preserve"> </w:t>
      </w:r>
      <w:r>
        <w:t xml:space="preserve">conforme custos unitários apostos no subitem 1.1 deste instrumento e planilha de custos constante nos autos do processo. </w:t>
      </w:r>
    </w:p>
    <w:p w14:paraId="7FDB94BC" w14:textId="77777777" w:rsidR="00E878FB" w:rsidRDefault="00C43B83">
      <w:pPr>
        <w:pStyle w:val="Nvel2-Red"/>
        <w:ind w:left="0" w:firstLine="0"/>
        <w:rPr>
          <w:i w:val="0"/>
          <w:color w:val="auto"/>
        </w:rPr>
      </w:pPr>
      <w:r>
        <w:rPr>
          <w:rFonts w:eastAsia="MS Mincho"/>
          <w:i w:val="0"/>
          <w:color w:val="auto"/>
        </w:rPr>
        <w:t xml:space="preserve">Em caso de licitação para Registro de Preços, os preços </w:t>
      </w:r>
      <w:r>
        <w:rPr>
          <w:i w:val="0"/>
          <w:color w:val="auto"/>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25E5DBF9" w14:textId="77777777" w:rsidR="00E878FB" w:rsidRDefault="00C43B83">
      <w:pPr>
        <w:pStyle w:val="Nvel3-R"/>
        <w:ind w:left="284" w:firstLine="0"/>
        <w:rPr>
          <w:rStyle w:val="Hyperlink"/>
          <w:rFonts w:ascii="Ecofont_Spranq_eco_Sans" w:eastAsia="MS Mincho" w:hAnsi="Ecofont_Spranq_eco_Sans" w:cs="Tahoma"/>
          <w:i w:val="0"/>
          <w:iCs w:val="0"/>
          <w:color w:val="auto"/>
          <w:sz w:val="24"/>
          <w:szCs w:val="24"/>
          <w:u w:val="none"/>
        </w:rPr>
      </w:pPr>
      <w:r>
        <w:rPr>
          <w:i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68" w:anchor="art124iid">
        <w:r>
          <w:rPr>
            <w:rStyle w:val="Hyperlink"/>
            <w:rFonts w:eastAsia="Arial"/>
            <w:i w:val="0"/>
            <w:color w:val="auto"/>
          </w:rPr>
          <w:t>línea “d” do inciso II do capu</w:t>
        </w:r>
        <w:r>
          <w:rPr>
            <w:rStyle w:val="Hyperlink"/>
            <w:rFonts w:eastAsia="Arial"/>
            <w:b/>
            <w:bCs/>
            <w:i w:val="0"/>
            <w:color w:val="auto"/>
          </w:rPr>
          <w:t>t</w:t>
        </w:r>
        <w:r>
          <w:rPr>
            <w:rStyle w:val="Hyperlink"/>
            <w:rFonts w:eastAsia="Arial"/>
            <w:i w:val="0"/>
            <w:color w:val="auto"/>
          </w:rPr>
          <w:t xml:space="preserve"> do art. 124 da Lei nº 14.133, de 2021;</w:t>
        </w:r>
      </w:hyperlink>
    </w:p>
    <w:p w14:paraId="7E3493AE" w14:textId="77777777" w:rsidR="00E878FB" w:rsidRDefault="00C43B83">
      <w:pPr>
        <w:pStyle w:val="Nvel3-R"/>
        <w:ind w:left="284" w:firstLine="0"/>
        <w:rPr>
          <w:rFonts w:ascii="Ecofont_Spranq_eco_Sans" w:eastAsia="MS Mincho" w:hAnsi="Ecofont_Spranq_eco_Sans" w:cs="Tahoma"/>
          <w:i w:val="0"/>
          <w:color w:val="auto"/>
          <w:sz w:val="24"/>
          <w:szCs w:val="24"/>
        </w:rPr>
      </w:pPr>
      <w:r>
        <w:rPr>
          <w:i w:val="0"/>
          <w:color w:val="auto"/>
        </w:rPr>
        <w:t>em caso de criação, alteração ou extinção de quaisquer tributos ou encargos legais ou superveniência de disposições legais, com comprovada repercussão sobre os preços registrados;</w:t>
      </w:r>
    </w:p>
    <w:p w14:paraId="42126B34" w14:textId="77777777" w:rsidR="00E878FB" w:rsidRDefault="00C43B83">
      <w:pPr>
        <w:pStyle w:val="Nvel3-R"/>
        <w:ind w:left="284" w:firstLine="0"/>
        <w:rPr>
          <w:rFonts w:ascii="Ecofont_Spranq_eco_Sans" w:eastAsia="MS Mincho" w:hAnsi="Ecofont_Spranq_eco_Sans" w:cs="Tahoma"/>
          <w:i w:val="0"/>
          <w:color w:val="auto"/>
          <w:sz w:val="24"/>
          <w:szCs w:val="24"/>
        </w:rPr>
      </w:pPr>
      <w:r>
        <w:rPr>
          <w:i w:val="0"/>
          <w:color w:val="auto"/>
        </w:rPr>
        <w:t>serão reajustados os preços registrados, respeitada a contagem da anualidade e o índice previsto para a contratação; ou</w:t>
      </w:r>
    </w:p>
    <w:p w14:paraId="57A7806F" w14:textId="77777777" w:rsidR="00E878FB" w:rsidRDefault="00C43B83">
      <w:pPr>
        <w:pStyle w:val="Nvel3-R"/>
        <w:ind w:left="284" w:firstLine="0"/>
        <w:rPr>
          <w:rFonts w:ascii="Ecofont_Spranq_eco_Sans" w:eastAsia="MS Mincho" w:hAnsi="Ecofont_Spranq_eco_Sans" w:cs="Tahoma"/>
          <w:i w:val="0"/>
          <w:color w:val="auto"/>
          <w:sz w:val="24"/>
          <w:szCs w:val="24"/>
        </w:rPr>
      </w:pPr>
      <w:r>
        <w:rPr>
          <w:i w:val="0"/>
          <w:color w:val="auto"/>
        </w:rPr>
        <w:t>poderão ser repactuados, a pedido do interessado, conforme critérios definidos para a contratação.</w:t>
      </w:r>
    </w:p>
    <w:p w14:paraId="4FF6F44C" w14:textId="77777777" w:rsidR="00E878FB" w:rsidRDefault="00E878FB">
      <w:pPr>
        <w:pStyle w:val="Nvel3-R"/>
        <w:numPr>
          <w:ilvl w:val="0"/>
          <w:numId w:val="0"/>
        </w:numPr>
        <w:ind w:left="284"/>
        <w:rPr>
          <w:rFonts w:ascii="Ecofont_Spranq_eco_Sans" w:eastAsia="MS Mincho" w:hAnsi="Ecofont_Spranq_eco_Sans" w:cs="Tahoma"/>
          <w:i w:val="0"/>
          <w:color w:val="auto"/>
          <w:sz w:val="24"/>
          <w:szCs w:val="24"/>
        </w:rPr>
      </w:pPr>
    </w:p>
    <w:p w14:paraId="5006D682" w14:textId="77777777" w:rsidR="00E878FB" w:rsidRDefault="00C43B83">
      <w:pPr>
        <w:pStyle w:val="Nivel01"/>
        <w:rPr>
          <w:rFonts w:ascii="Ecofont_Spranq_eco_Sans" w:eastAsia="MS Mincho" w:hAnsi="Ecofont_Spranq_eco_Sans" w:cs="Tahoma"/>
          <w:sz w:val="24"/>
          <w:szCs w:val="24"/>
        </w:rPr>
      </w:pPr>
      <w:r>
        <w:t>DISPOSIÇÕES FINAIS</w:t>
      </w:r>
    </w:p>
    <w:p w14:paraId="31601D55" w14:textId="77777777" w:rsidR="00E878FB" w:rsidRDefault="00C43B83">
      <w:pPr>
        <w:pStyle w:val="Nivel01"/>
        <w:numPr>
          <w:ilvl w:val="0"/>
          <w:numId w:val="0"/>
        </w:numPr>
        <w:ind w:left="360"/>
        <w:rPr>
          <w:b w:val="0"/>
        </w:rPr>
      </w:pPr>
      <w:r>
        <w:rPr>
          <w:b w:val="0"/>
        </w:rPr>
        <w:t xml:space="preserve">10.1. As informações contidas neste Termo de Referência não são classificadas como sigilosas. </w:t>
      </w:r>
    </w:p>
    <w:p w14:paraId="4F521321" w14:textId="77777777" w:rsidR="00E878FB" w:rsidRDefault="00E878FB">
      <w:pPr>
        <w:pStyle w:val="Nvel3-R"/>
        <w:numPr>
          <w:ilvl w:val="0"/>
          <w:numId w:val="0"/>
        </w:numPr>
        <w:ind w:left="284"/>
        <w:rPr>
          <w:rFonts w:ascii="Ecofont_Spranq_eco_Sans" w:eastAsia="MS Mincho" w:hAnsi="Ecofont_Spranq_eco_Sans" w:cs="Tahoma"/>
          <w:i w:val="0"/>
          <w:color w:val="auto"/>
          <w:sz w:val="24"/>
          <w:szCs w:val="24"/>
          <w:u w:val="single"/>
        </w:rPr>
      </w:pPr>
    </w:p>
    <w:p w14:paraId="1AB4BD3F" w14:textId="77777777" w:rsidR="00E878FB" w:rsidRDefault="00E878FB">
      <w:pPr>
        <w:pStyle w:val="Nivel2"/>
        <w:numPr>
          <w:ilvl w:val="0"/>
          <w:numId w:val="0"/>
        </w:numPr>
        <w:spacing w:afterLines="120" w:after="288" w:line="312" w:lineRule="auto"/>
        <w:rPr>
          <w:i/>
          <w:iCs/>
          <w:color w:val="FF0000"/>
        </w:rPr>
      </w:pPr>
    </w:p>
    <w:p w14:paraId="22CCCEB7" w14:textId="77777777" w:rsidR="00E878FB" w:rsidRDefault="00C43B83">
      <w:pPr>
        <w:pStyle w:val="Nivel2"/>
        <w:numPr>
          <w:ilvl w:val="0"/>
          <w:numId w:val="0"/>
        </w:numPr>
        <w:spacing w:afterLines="120" w:after="288" w:line="312" w:lineRule="auto"/>
        <w:jc w:val="right"/>
        <w:rPr>
          <w:iCs/>
          <w:color w:val="auto"/>
        </w:rPr>
      </w:pPr>
      <w:r>
        <w:rPr>
          <w:iCs/>
          <w:color w:val="auto"/>
        </w:rPr>
        <w:t>São João del Rei, 27 de março de 2025.</w:t>
      </w:r>
    </w:p>
    <w:p w14:paraId="2622F822" w14:textId="77777777" w:rsidR="00E878FB" w:rsidRDefault="00E878FB">
      <w:pPr>
        <w:pStyle w:val="Nivel2"/>
        <w:numPr>
          <w:ilvl w:val="0"/>
          <w:numId w:val="0"/>
        </w:numPr>
        <w:spacing w:afterLines="120" w:after="288" w:line="312" w:lineRule="auto"/>
        <w:rPr>
          <w:i/>
          <w:iCs/>
          <w:color w:val="auto"/>
        </w:rPr>
      </w:pPr>
    </w:p>
    <w:p w14:paraId="544F9CD9" w14:textId="77777777" w:rsidR="00E878FB" w:rsidRDefault="00C43B83">
      <w:pPr>
        <w:spacing w:before="120" w:afterLines="120" w:after="288" w:line="312" w:lineRule="auto"/>
        <w:ind w:left="357"/>
        <w:jc w:val="center"/>
        <w:rPr>
          <w:rFonts w:ascii="Arial" w:eastAsia="Arial" w:hAnsi="Arial" w:cs="Arial"/>
          <w:sz w:val="20"/>
          <w:szCs w:val="20"/>
        </w:rPr>
      </w:pPr>
      <w:r>
        <w:rPr>
          <w:rFonts w:ascii="Arial" w:eastAsia="Arial" w:hAnsi="Arial" w:cs="Arial"/>
          <w:sz w:val="20"/>
          <w:szCs w:val="20"/>
        </w:rPr>
        <w:t>__________________________________</w:t>
      </w:r>
    </w:p>
    <w:p w14:paraId="497E14F8" w14:textId="77777777" w:rsidR="00E878FB" w:rsidRDefault="00C43B83">
      <w:pPr>
        <w:spacing w:before="120" w:afterLines="120" w:after="288" w:line="312" w:lineRule="auto"/>
        <w:ind w:left="357"/>
        <w:jc w:val="center"/>
        <w:rPr>
          <w:rFonts w:ascii="Arial" w:eastAsia="Times New Roman" w:hAnsi="Arial"/>
          <w:sz w:val="20"/>
          <w:szCs w:val="20"/>
        </w:rPr>
      </w:pPr>
      <w:r>
        <w:rPr>
          <w:rFonts w:ascii="Arial" w:eastAsia="Times New Roman" w:hAnsi="Arial"/>
          <w:sz w:val="20"/>
          <w:szCs w:val="20"/>
        </w:rPr>
        <w:lastRenderedPageBreak/>
        <w:t>MARCO ANTONIO DE CARVALHO TEIXEIRA</w:t>
      </w:r>
    </w:p>
    <w:p w14:paraId="660840E2" w14:textId="77777777" w:rsidR="00E878FB" w:rsidRDefault="00C43B83">
      <w:pPr>
        <w:spacing w:before="120" w:afterLines="120" w:after="288" w:line="312" w:lineRule="auto"/>
        <w:ind w:left="357"/>
        <w:jc w:val="center"/>
        <w:rPr>
          <w:rFonts w:ascii="Arial" w:eastAsia="Times New Roman" w:hAnsi="Arial"/>
          <w:sz w:val="20"/>
          <w:szCs w:val="20"/>
        </w:rPr>
      </w:pPr>
      <w:r w:rsidRPr="0094508D">
        <w:rPr>
          <w:rFonts w:ascii="Arial" w:eastAsia="Times New Roman" w:hAnsi="Arial"/>
          <w:sz w:val="20"/>
          <w:szCs w:val="20"/>
          <w:lang w:eastAsia="zh-CN"/>
        </w:rPr>
        <w:t>Chefe do Setor de Almoxarifado</w:t>
      </w:r>
    </w:p>
    <w:p w14:paraId="682B5AE3" w14:textId="77777777" w:rsidR="00E878FB" w:rsidRDefault="00E878FB">
      <w:pPr>
        <w:spacing w:before="120" w:afterLines="120" w:after="288" w:line="312" w:lineRule="auto"/>
        <w:ind w:left="357"/>
        <w:jc w:val="center"/>
        <w:rPr>
          <w:rFonts w:ascii="Arial" w:eastAsia="Times New Roman" w:hAnsi="Arial"/>
          <w:sz w:val="20"/>
          <w:szCs w:val="20"/>
        </w:rPr>
      </w:pPr>
    </w:p>
    <w:p w14:paraId="44DFEFAE" w14:textId="77777777" w:rsidR="00E878FB" w:rsidRDefault="00E878FB">
      <w:pPr>
        <w:rPr>
          <w:rFonts w:ascii="Arial" w:eastAsia="Times New Roman" w:hAnsi="Arial" w:cs="Arial"/>
          <w:sz w:val="20"/>
          <w:szCs w:val="20"/>
          <w:u w:val="single"/>
        </w:rPr>
      </w:pPr>
    </w:p>
    <w:p w14:paraId="10792C4B" w14:textId="77777777" w:rsidR="00E878FB" w:rsidRDefault="00E878FB">
      <w:pPr>
        <w:rPr>
          <w:rFonts w:ascii="Arial" w:eastAsia="Times New Roman" w:hAnsi="Arial" w:cs="Arial"/>
          <w:sz w:val="20"/>
          <w:szCs w:val="20"/>
          <w:u w:val="single"/>
        </w:rPr>
      </w:pPr>
    </w:p>
    <w:p w14:paraId="714B52B7" w14:textId="77777777" w:rsidR="00E878FB" w:rsidRDefault="00E878FB">
      <w:pPr>
        <w:rPr>
          <w:rFonts w:ascii="Arial" w:eastAsia="Times New Roman" w:hAnsi="Arial" w:cs="Arial"/>
          <w:sz w:val="20"/>
          <w:szCs w:val="20"/>
          <w:u w:val="single"/>
        </w:rPr>
      </w:pPr>
    </w:p>
    <w:p w14:paraId="171B6EF5"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764BE060"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519AA588"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2939B156"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4BA9461C"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46BBCBDC"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7C93C9BB"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482E54EE"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3E91F22B"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7B0A3683"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32CE4373" w14:textId="77777777" w:rsidR="00E878FB" w:rsidRDefault="00C43B83">
      <w:pPr>
        <w:pStyle w:val="NormalWeb"/>
        <w:spacing w:beforeAutospacing="0" w:afterAutospacing="0" w:line="210" w:lineRule="atLeast"/>
        <w:ind w:firstLine="3376"/>
        <w:jc w:val="both"/>
        <w:rPr>
          <w:rFonts w:ascii="Arial" w:hAnsi="Arial" w:cs="Arial"/>
          <w:b/>
          <w:bCs/>
          <w:sz w:val="24"/>
          <w:lang w:val="pt-BR"/>
        </w:rPr>
      </w:pPr>
      <w:r>
        <w:rPr>
          <w:rFonts w:ascii="Arial" w:hAnsi="Arial" w:cs="Arial"/>
          <w:b/>
          <w:bCs/>
          <w:sz w:val="24"/>
          <w:lang w:val="pt-BR"/>
        </w:rPr>
        <w:t>Anexo I do Termo de Referência</w:t>
      </w:r>
    </w:p>
    <w:p w14:paraId="3D2B05DF" w14:textId="77777777" w:rsidR="00E878FB" w:rsidRDefault="00E878FB">
      <w:pPr>
        <w:pStyle w:val="NormalWeb"/>
        <w:spacing w:beforeAutospacing="0" w:afterAutospacing="0" w:line="210" w:lineRule="atLeast"/>
        <w:ind w:firstLine="567"/>
        <w:jc w:val="center"/>
        <w:rPr>
          <w:rFonts w:ascii="Arial" w:hAnsi="Arial" w:cs="Arial"/>
          <w:b/>
          <w:bCs/>
          <w:sz w:val="24"/>
          <w:lang w:val="pt-BR"/>
        </w:rPr>
      </w:pPr>
    </w:p>
    <w:p w14:paraId="72C66B67" w14:textId="77777777" w:rsidR="00E878FB" w:rsidRPr="0094508D" w:rsidRDefault="00C43B83">
      <w:pPr>
        <w:pStyle w:val="NormalWeb"/>
        <w:spacing w:beforeAutospacing="0" w:afterAutospacing="0" w:line="210" w:lineRule="atLeast"/>
        <w:ind w:firstLine="567"/>
        <w:jc w:val="center"/>
        <w:rPr>
          <w:rFonts w:ascii="Arial" w:hAnsi="Arial" w:cs="Arial"/>
          <w:b/>
          <w:bCs/>
          <w:sz w:val="24"/>
          <w:lang w:val="pt-BR"/>
        </w:rPr>
      </w:pPr>
      <w:r w:rsidRPr="0094508D">
        <w:rPr>
          <w:rFonts w:ascii="Arial" w:hAnsi="Arial" w:cs="Arial"/>
          <w:b/>
          <w:bCs/>
          <w:sz w:val="24"/>
          <w:lang w:val="pt-BR"/>
        </w:rPr>
        <w:t>Estudo Técnico Preliminar</w:t>
      </w:r>
    </w:p>
    <w:p w14:paraId="4B0391E2" w14:textId="77777777" w:rsidR="00E878FB" w:rsidRPr="0094508D" w:rsidRDefault="00E878FB">
      <w:pPr>
        <w:pStyle w:val="NormalWeb"/>
        <w:spacing w:beforeAutospacing="0" w:afterAutospacing="0" w:line="210" w:lineRule="atLeast"/>
        <w:ind w:firstLine="567"/>
        <w:jc w:val="center"/>
        <w:rPr>
          <w:rFonts w:ascii="Arial" w:hAnsi="Arial" w:cs="Arial"/>
          <w:b/>
          <w:bCs/>
          <w:sz w:val="24"/>
          <w:lang w:val="pt-BR"/>
        </w:rPr>
      </w:pPr>
    </w:p>
    <w:p w14:paraId="7BB74EA8" w14:textId="77777777" w:rsidR="00E878FB" w:rsidRDefault="00C43B83">
      <w:pPr>
        <w:pStyle w:val="NormalWeb"/>
        <w:spacing w:beforeAutospacing="0" w:afterAutospacing="0" w:line="210" w:lineRule="atLeast"/>
        <w:ind w:firstLine="567"/>
        <w:jc w:val="center"/>
        <w:rPr>
          <w:rFonts w:ascii="Arial" w:hAnsi="Arial" w:cs="Arial"/>
          <w:b/>
          <w:bCs/>
          <w:sz w:val="24"/>
          <w:lang w:val="pt-BR"/>
        </w:rPr>
      </w:pPr>
      <w:r>
        <w:rPr>
          <w:rFonts w:ascii="Arial" w:hAnsi="Arial" w:cs="Arial"/>
          <w:b/>
          <w:bCs/>
          <w:sz w:val="24"/>
          <w:lang w:val="pt-BR"/>
        </w:rPr>
        <w:t>(ARQUIVO ANEXO)</w:t>
      </w:r>
    </w:p>
    <w:p w14:paraId="281CB0C6" w14:textId="77777777" w:rsidR="00E878FB" w:rsidRDefault="00E878FB">
      <w:pPr>
        <w:rPr>
          <w:rFonts w:ascii="Arial" w:eastAsia="Times New Roman" w:hAnsi="Arial" w:cs="Arial"/>
          <w:sz w:val="20"/>
          <w:szCs w:val="20"/>
          <w:u w:val="single"/>
        </w:rPr>
      </w:pPr>
    </w:p>
    <w:p w14:paraId="10829471" w14:textId="77777777" w:rsidR="00E878FB" w:rsidRDefault="00E878FB">
      <w:pPr>
        <w:rPr>
          <w:rFonts w:ascii="Arial" w:eastAsia="Times New Roman" w:hAnsi="Arial" w:cs="Arial"/>
          <w:sz w:val="20"/>
          <w:szCs w:val="20"/>
          <w:u w:val="single"/>
        </w:rPr>
      </w:pPr>
    </w:p>
    <w:p w14:paraId="72E561CD" w14:textId="77777777" w:rsidR="00E878FB" w:rsidRDefault="00E878FB">
      <w:pPr>
        <w:rPr>
          <w:rFonts w:ascii="Arial" w:eastAsia="Times New Roman" w:hAnsi="Arial" w:cs="Arial"/>
          <w:sz w:val="20"/>
          <w:szCs w:val="20"/>
          <w:u w:val="single"/>
        </w:rPr>
      </w:pPr>
    </w:p>
    <w:p w14:paraId="0AAAC867" w14:textId="77777777" w:rsidR="00E878FB" w:rsidRDefault="00E878FB">
      <w:pPr>
        <w:rPr>
          <w:rFonts w:ascii="Arial" w:eastAsia="Times New Roman" w:hAnsi="Arial" w:cs="Arial"/>
          <w:sz w:val="20"/>
          <w:szCs w:val="20"/>
          <w:u w:val="single"/>
        </w:rPr>
      </w:pPr>
    </w:p>
    <w:p w14:paraId="00A5063F" w14:textId="77777777" w:rsidR="00E878FB" w:rsidRDefault="00E878FB">
      <w:pPr>
        <w:rPr>
          <w:rFonts w:ascii="Arial" w:eastAsia="Times New Roman" w:hAnsi="Arial" w:cs="Arial"/>
          <w:sz w:val="20"/>
          <w:szCs w:val="20"/>
          <w:u w:val="single"/>
        </w:rPr>
      </w:pPr>
    </w:p>
    <w:p w14:paraId="15989D09" w14:textId="77777777" w:rsidR="00E878FB" w:rsidRDefault="00E878FB">
      <w:pPr>
        <w:rPr>
          <w:rFonts w:ascii="Arial" w:eastAsia="Times New Roman" w:hAnsi="Arial" w:cs="Arial"/>
          <w:sz w:val="20"/>
          <w:szCs w:val="20"/>
          <w:u w:val="single"/>
        </w:rPr>
      </w:pPr>
    </w:p>
    <w:p w14:paraId="0B95E629" w14:textId="77777777" w:rsidR="00E878FB" w:rsidRDefault="00E878FB">
      <w:pPr>
        <w:rPr>
          <w:rFonts w:ascii="Arial" w:eastAsia="Times New Roman" w:hAnsi="Arial" w:cs="Arial"/>
          <w:sz w:val="20"/>
          <w:szCs w:val="20"/>
          <w:u w:val="single"/>
        </w:rPr>
      </w:pPr>
    </w:p>
    <w:p w14:paraId="15BB5406" w14:textId="77777777" w:rsidR="00E878FB" w:rsidRDefault="00E878FB">
      <w:pPr>
        <w:rPr>
          <w:rFonts w:ascii="Arial" w:eastAsia="Times New Roman" w:hAnsi="Arial" w:cs="Arial"/>
          <w:sz w:val="20"/>
          <w:szCs w:val="20"/>
          <w:u w:val="single"/>
        </w:rPr>
      </w:pPr>
    </w:p>
    <w:p w14:paraId="2F4D3940" w14:textId="77777777" w:rsidR="00E878FB" w:rsidRDefault="00E878FB">
      <w:pPr>
        <w:rPr>
          <w:rFonts w:ascii="Arial" w:eastAsia="Times New Roman" w:hAnsi="Arial" w:cs="Arial"/>
          <w:sz w:val="20"/>
          <w:szCs w:val="20"/>
          <w:u w:val="single"/>
        </w:rPr>
      </w:pPr>
    </w:p>
    <w:p w14:paraId="4F26F7CC" w14:textId="77777777" w:rsidR="00E878FB" w:rsidRDefault="00E878FB">
      <w:pPr>
        <w:rPr>
          <w:rFonts w:ascii="Arial" w:eastAsia="Times New Roman" w:hAnsi="Arial" w:cs="Arial"/>
          <w:sz w:val="20"/>
          <w:szCs w:val="20"/>
          <w:u w:val="single"/>
        </w:rPr>
      </w:pPr>
    </w:p>
    <w:p w14:paraId="597112B1" w14:textId="77777777" w:rsidR="00E878FB" w:rsidRDefault="00E878FB">
      <w:pPr>
        <w:rPr>
          <w:rFonts w:ascii="Arial" w:eastAsia="Times New Roman" w:hAnsi="Arial" w:cs="Arial"/>
          <w:sz w:val="20"/>
          <w:szCs w:val="20"/>
          <w:u w:val="single"/>
        </w:rPr>
      </w:pPr>
    </w:p>
    <w:p w14:paraId="057775D0" w14:textId="77777777" w:rsidR="00E878FB" w:rsidRDefault="00E878FB">
      <w:pPr>
        <w:rPr>
          <w:rFonts w:ascii="Arial" w:eastAsia="Times New Roman" w:hAnsi="Arial" w:cs="Arial"/>
          <w:sz w:val="20"/>
          <w:szCs w:val="20"/>
          <w:u w:val="single"/>
        </w:rPr>
      </w:pPr>
    </w:p>
    <w:p w14:paraId="37F20660" w14:textId="77777777" w:rsidR="00E878FB" w:rsidRDefault="00E878FB">
      <w:pPr>
        <w:rPr>
          <w:rFonts w:ascii="Arial" w:eastAsia="Times New Roman" w:hAnsi="Arial" w:cs="Arial"/>
          <w:sz w:val="20"/>
          <w:szCs w:val="20"/>
          <w:u w:val="single"/>
        </w:rPr>
      </w:pPr>
    </w:p>
    <w:p w14:paraId="63132AAE" w14:textId="77777777" w:rsidR="00E878FB" w:rsidRDefault="00E878FB">
      <w:pPr>
        <w:rPr>
          <w:rFonts w:ascii="Arial" w:eastAsia="Times New Roman" w:hAnsi="Arial" w:cs="Arial"/>
          <w:sz w:val="20"/>
          <w:szCs w:val="20"/>
          <w:u w:val="single"/>
        </w:rPr>
      </w:pPr>
    </w:p>
    <w:p w14:paraId="6FC2809A" w14:textId="77777777" w:rsidR="00E878FB" w:rsidRDefault="00E878FB">
      <w:pPr>
        <w:rPr>
          <w:rFonts w:ascii="Arial" w:eastAsia="Times New Roman" w:hAnsi="Arial" w:cs="Arial"/>
          <w:sz w:val="20"/>
          <w:szCs w:val="20"/>
          <w:u w:val="single"/>
        </w:rPr>
      </w:pPr>
    </w:p>
    <w:p w14:paraId="07444081" w14:textId="77777777" w:rsidR="00E878FB" w:rsidRDefault="00E878FB">
      <w:pPr>
        <w:rPr>
          <w:rFonts w:ascii="Arial" w:eastAsia="Times New Roman" w:hAnsi="Arial" w:cs="Arial"/>
          <w:sz w:val="20"/>
          <w:szCs w:val="20"/>
          <w:u w:val="single"/>
        </w:rPr>
      </w:pPr>
    </w:p>
    <w:p w14:paraId="18ACF76C" w14:textId="77777777" w:rsidR="00E878FB" w:rsidRDefault="00E878FB">
      <w:pPr>
        <w:rPr>
          <w:rFonts w:ascii="Arial" w:eastAsia="Times New Roman" w:hAnsi="Arial" w:cs="Arial"/>
          <w:sz w:val="20"/>
          <w:szCs w:val="20"/>
          <w:u w:val="single"/>
        </w:rPr>
      </w:pPr>
    </w:p>
    <w:p w14:paraId="6B2B55AB" w14:textId="77777777" w:rsidR="00E878FB" w:rsidRDefault="00E878FB">
      <w:pPr>
        <w:rPr>
          <w:rFonts w:ascii="Arial" w:eastAsia="Times New Roman" w:hAnsi="Arial" w:cs="Arial"/>
          <w:sz w:val="20"/>
          <w:szCs w:val="20"/>
          <w:u w:val="single"/>
        </w:rPr>
      </w:pPr>
    </w:p>
    <w:p w14:paraId="30CE07AB" w14:textId="77777777" w:rsidR="00E878FB" w:rsidRDefault="00E878FB">
      <w:pPr>
        <w:jc w:val="both"/>
        <w:rPr>
          <w:rFonts w:ascii="Arial" w:hAnsi="Arial" w:cs="Arial"/>
          <w:b/>
          <w:sz w:val="22"/>
          <w:szCs w:val="22"/>
          <w:u w:val="single"/>
        </w:rPr>
      </w:pPr>
    </w:p>
    <w:p w14:paraId="7D410BD7" w14:textId="77777777" w:rsidR="00E878FB" w:rsidRDefault="00E878FB">
      <w:pPr>
        <w:ind w:left="3540" w:firstLine="708"/>
        <w:jc w:val="both"/>
        <w:rPr>
          <w:rFonts w:ascii="Arial" w:hAnsi="Arial" w:cs="Arial"/>
          <w:b/>
          <w:sz w:val="22"/>
          <w:szCs w:val="22"/>
          <w:u w:val="single"/>
        </w:rPr>
      </w:pPr>
    </w:p>
    <w:p w14:paraId="5C943028" w14:textId="77777777" w:rsidR="00E878FB" w:rsidRDefault="00E878FB">
      <w:pPr>
        <w:ind w:left="3540" w:firstLine="708"/>
        <w:jc w:val="both"/>
        <w:rPr>
          <w:rFonts w:ascii="Arial" w:hAnsi="Arial" w:cs="Arial"/>
          <w:b/>
          <w:sz w:val="22"/>
          <w:szCs w:val="22"/>
          <w:u w:val="single"/>
        </w:rPr>
      </w:pPr>
    </w:p>
    <w:p w14:paraId="3D787F82" w14:textId="77777777" w:rsidR="00E878FB" w:rsidRDefault="00E878FB">
      <w:pPr>
        <w:ind w:left="3540" w:firstLine="708"/>
        <w:jc w:val="both"/>
        <w:rPr>
          <w:rFonts w:ascii="Arial" w:hAnsi="Arial" w:cs="Arial"/>
          <w:b/>
          <w:sz w:val="22"/>
          <w:szCs w:val="22"/>
          <w:u w:val="single"/>
        </w:rPr>
      </w:pPr>
    </w:p>
    <w:p w14:paraId="6F3D3B4C" w14:textId="77777777" w:rsidR="00E878FB" w:rsidRDefault="00E878FB">
      <w:pPr>
        <w:ind w:left="3540" w:firstLine="708"/>
        <w:jc w:val="both"/>
        <w:rPr>
          <w:rFonts w:ascii="Arial" w:hAnsi="Arial" w:cs="Arial"/>
          <w:b/>
          <w:sz w:val="22"/>
          <w:szCs w:val="22"/>
          <w:u w:val="single"/>
        </w:rPr>
      </w:pPr>
    </w:p>
    <w:p w14:paraId="06CC28F3" w14:textId="77777777" w:rsidR="00E878FB" w:rsidRDefault="00E878FB">
      <w:pPr>
        <w:ind w:left="3540" w:firstLine="708"/>
        <w:jc w:val="both"/>
        <w:rPr>
          <w:rFonts w:ascii="Arial" w:hAnsi="Arial" w:cs="Arial"/>
          <w:b/>
          <w:sz w:val="22"/>
          <w:szCs w:val="22"/>
          <w:u w:val="single"/>
        </w:rPr>
      </w:pPr>
    </w:p>
    <w:p w14:paraId="4740B3DD" w14:textId="77777777" w:rsidR="00E878FB" w:rsidRDefault="00E878FB">
      <w:pPr>
        <w:ind w:left="3540" w:firstLine="708"/>
        <w:jc w:val="both"/>
        <w:rPr>
          <w:rFonts w:ascii="Arial" w:hAnsi="Arial" w:cs="Arial"/>
          <w:b/>
          <w:sz w:val="22"/>
          <w:szCs w:val="22"/>
          <w:u w:val="single"/>
        </w:rPr>
      </w:pPr>
    </w:p>
    <w:p w14:paraId="16D15A97" w14:textId="77777777" w:rsidR="00E878FB" w:rsidRDefault="00E878FB">
      <w:pPr>
        <w:ind w:left="3540" w:firstLine="708"/>
        <w:jc w:val="both"/>
        <w:rPr>
          <w:rFonts w:ascii="Arial" w:hAnsi="Arial" w:cs="Arial"/>
          <w:b/>
          <w:sz w:val="22"/>
          <w:szCs w:val="22"/>
          <w:u w:val="single"/>
        </w:rPr>
      </w:pPr>
    </w:p>
    <w:p w14:paraId="54FAE8C9" w14:textId="77777777" w:rsidR="00E878FB" w:rsidRDefault="00E878FB">
      <w:pPr>
        <w:ind w:left="3540" w:firstLine="708"/>
        <w:jc w:val="both"/>
        <w:rPr>
          <w:rFonts w:ascii="Arial" w:hAnsi="Arial" w:cs="Arial"/>
          <w:b/>
          <w:sz w:val="22"/>
          <w:szCs w:val="22"/>
          <w:u w:val="single"/>
        </w:rPr>
      </w:pPr>
    </w:p>
    <w:p w14:paraId="74D3AA9D" w14:textId="77777777" w:rsidR="00E878FB" w:rsidRDefault="00E878FB">
      <w:pPr>
        <w:ind w:left="3540" w:firstLine="708"/>
        <w:jc w:val="both"/>
        <w:rPr>
          <w:rFonts w:ascii="Arial" w:hAnsi="Arial" w:cs="Arial"/>
          <w:b/>
          <w:sz w:val="22"/>
          <w:szCs w:val="22"/>
          <w:u w:val="single"/>
        </w:rPr>
      </w:pPr>
    </w:p>
    <w:p w14:paraId="0D390C3C" w14:textId="77777777" w:rsidR="00E878FB" w:rsidRDefault="00E878FB">
      <w:pPr>
        <w:ind w:left="3540" w:firstLine="708"/>
        <w:jc w:val="both"/>
        <w:rPr>
          <w:rFonts w:ascii="Arial" w:hAnsi="Arial" w:cs="Arial"/>
          <w:b/>
          <w:sz w:val="22"/>
          <w:szCs w:val="22"/>
          <w:u w:val="single"/>
        </w:rPr>
      </w:pPr>
    </w:p>
    <w:p w14:paraId="4965D544" w14:textId="77777777" w:rsidR="00E878FB" w:rsidRDefault="00C43B83">
      <w:pPr>
        <w:ind w:left="3540" w:firstLine="708"/>
        <w:jc w:val="both"/>
        <w:rPr>
          <w:rFonts w:ascii="Arial" w:hAnsi="Arial" w:cs="Arial"/>
          <w:b/>
          <w:sz w:val="22"/>
          <w:szCs w:val="22"/>
          <w:u w:val="single"/>
        </w:rPr>
      </w:pPr>
      <w:r>
        <w:rPr>
          <w:rFonts w:ascii="Arial" w:hAnsi="Arial" w:cs="Arial"/>
          <w:b/>
          <w:sz w:val="22"/>
          <w:szCs w:val="22"/>
          <w:u w:val="single"/>
        </w:rPr>
        <w:t>ANEXO II</w:t>
      </w:r>
    </w:p>
    <w:p w14:paraId="4A104E8C" w14:textId="77777777" w:rsidR="00E878FB" w:rsidRDefault="00E878FB">
      <w:pPr>
        <w:jc w:val="center"/>
        <w:rPr>
          <w:rFonts w:ascii="Arial" w:hAnsi="Arial" w:cs="Arial"/>
          <w:b/>
          <w:sz w:val="22"/>
          <w:szCs w:val="22"/>
          <w:u w:val="single"/>
        </w:rPr>
      </w:pPr>
    </w:p>
    <w:p w14:paraId="162EFC19" w14:textId="77777777" w:rsidR="00E878FB" w:rsidRDefault="00E878FB">
      <w:pPr>
        <w:jc w:val="center"/>
        <w:rPr>
          <w:rFonts w:ascii="Arial" w:hAnsi="Arial" w:cs="Arial"/>
          <w:b/>
          <w:sz w:val="22"/>
          <w:szCs w:val="22"/>
          <w:u w:val="single"/>
        </w:rPr>
      </w:pPr>
    </w:p>
    <w:p w14:paraId="410A5D4A" w14:textId="77777777" w:rsidR="00E878FB" w:rsidRDefault="00C43B83">
      <w:pPr>
        <w:jc w:val="center"/>
        <w:rPr>
          <w:rFonts w:ascii="Arial" w:hAnsi="Arial" w:cs="Arial"/>
          <w:b/>
          <w:bCs/>
          <w:sz w:val="22"/>
          <w:szCs w:val="22"/>
        </w:rPr>
      </w:pPr>
      <w:r>
        <w:rPr>
          <w:rFonts w:ascii="Arial" w:hAnsi="Arial" w:cs="Arial"/>
          <w:b/>
          <w:bCs/>
          <w:sz w:val="22"/>
          <w:szCs w:val="22"/>
        </w:rPr>
        <w:t xml:space="preserve">UNIVERSIDADE FEDERAL DE SÃO JOÃO DEL REI </w:t>
      </w:r>
    </w:p>
    <w:p w14:paraId="6C3050CA" w14:textId="77777777" w:rsidR="00E878FB" w:rsidRDefault="00E878FB">
      <w:pPr>
        <w:pStyle w:val="Header"/>
        <w:contextualSpacing/>
        <w:jc w:val="center"/>
        <w:rPr>
          <w:rFonts w:ascii="Arial" w:hAnsi="Arial" w:cs="Arial"/>
          <w:b/>
          <w:bCs/>
          <w:sz w:val="22"/>
          <w:szCs w:val="22"/>
        </w:rPr>
      </w:pPr>
    </w:p>
    <w:p w14:paraId="11CD8CCC" w14:textId="77777777" w:rsidR="00E878FB" w:rsidRDefault="00C43B83">
      <w:pPr>
        <w:tabs>
          <w:tab w:val="left" w:pos="284"/>
        </w:tabs>
        <w:contextualSpacing/>
        <w:jc w:val="center"/>
        <w:rPr>
          <w:rFonts w:ascii="Arial" w:hAnsi="Arial" w:cs="Arial"/>
          <w:b/>
          <w:bCs/>
          <w:sz w:val="22"/>
          <w:szCs w:val="22"/>
        </w:rPr>
      </w:pPr>
      <w:r>
        <w:rPr>
          <w:rFonts w:ascii="Arial" w:hAnsi="Arial" w:cs="Arial"/>
          <w:b/>
          <w:bCs/>
          <w:sz w:val="22"/>
          <w:szCs w:val="22"/>
        </w:rPr>
        <w:lastRenderedPageBreak/>
        <w:t>ATA DE REGISTRO DE PREÇOS Nº 900XX/2025</w:t>
      </w:r>
    </w:p>
    <w:p w14:paraId="18B04954" w14:textId="77777777" w:rsidR="00E878FB" w:rsidRDefault="00E878FB">
      <w:pPr>
        <w:contextualSpacing/>
        <w:jc w:val="center"/>
        <w:rPr>
          <w:rFonts w:ascii="Arial" w:hAnsi="Arial" w:cs="Arial"/>
          <w:sz w:val="22"/>
          <w:szCs w:val="22"/>
        </w:rPr>
      </w:pPr>
    </w:p>
    <w:p w14:paraId="15223101" w14:textId="77777777" w:rsidR="00E878FB" w:rsidRDefault="00C43B83">
      <w:pPr>
        <w:contextualSpacing/>
        <w:jc w:val="center"/>
        <w:rPr>
          <w:rFonts w:ascii="Arial" w:hAnsi="Arial" w:cs="Arial"/>
          <w:b/>
          <w:bCs/>
          <w:sz w:val="22"/>
          <w:szCs w:val="22"/>
        </w:rPr>
      </w:pPr>
      <w:r>
        <w:rPr>
          <w:rFonts w:ascii="Arial" w:hAnsi="Arial" w:cs="Arial"/>
          <w:b/>
          <w:bCs/>
          <w:sz w:val="22"/>
          <w:szCs w:val="22"/>
        </w:rPr>
        <w:t>PREGÃO Nº 900XX/202X</w:t>
      </w:r>
    </w:p>
    <w:p w14:paraId="0F961019" w14:textId="77777777" w:rsidR="00E878FB" w:rsidRDefault="00C43B83">
      <w:pPr>
        <w:contextualSpacing/>
        <w:jc w:val="center"/>
        <w:rPr>
          <w:rFonts w:ascii="Arial" w:hAnsi="Arial" w:cs="Arial"/>
          <w:b/>
          <w:bCs/>
          <w:sz w:val="22"/>
          <w:szCs w:val="22"/>
        </w:rPr>
      </w:pPr>
      <w:r>
        <w:rPr>
          <w:rFonts w:ascii="Arial" w:hAnsi="Arial" w:cs="Arial"/>
          <w:b/>
          <w:bCs/>
          <w:sz w:val="22"/>
          <w:szCs w:val="22"/>
        </w:rPr>
        <w:t>PROCESSO Nº 23122.XXXXXX/202X-XX</w:t>
      </w:r>
    </w:p>
    <w:p w14:paraId="38D0B866" w14:textId="77777777" w:rsidR="00E878FB" w:rsidRDefault="00E878FB">
      <w:pPr>
        <w:spacing w:line="312" w:lineRule="auto"/>
        <w:rPr>
          <w:rFonts w:ascii="Arial" w:hAnsi="Arial" w:cs="Arial"/>
          <w:b/>
          <w:color w:val="FF0000"/>
          <w:sz w:val="20"/>
          <w:szCs w:val="20"/>
        </w:rPr>
      </w:pPr>
    </w:p>
    <w:p w14:paraId="3A1A7A59" w14:textId="77777777" w:rsidR="00E878FB" w:rsidRDefault="00E878FB">
      <w:pPr>
        <w:spacing w:line="312" w:lineRule="auto"/>
        <w:ind w:firstLine="567"/>
        <w:jc w:val="center"/>
        <w:rPr>
          <w:rFonts w:ascii="Arial" w:hAnsi="Arial" w:cs="Arial"/>
          <w:b/>
          <w:color w:val="FF0000"/>
          <w:sz w:val="20"/>
          <w:szCs w:val="20"/>
        </w:rPr>
      </w:pPr>
    </w:p>
    <w:p w14:paraId="2CD123B0" w14:textId="77777777" w:rsidR="00E878FB" w:rsidRDefault="00C43B83">
      <w:pPr>
        <w:widowControl w:val="0"/>
        <w:tabs>
          <w:tab w:val="center" w:pos="4779"/>
          <w:tab w:val="right" w:pos="9198"/>
        </w:tabs>
        <w:autoSpaceDE w:val="0"/>
        <w:autoSpaceDN w:val="0"/>
        <w:adjustRightInd w:val="0"/>
        <w:spacing w:before="120" w:after="120" w:line="276" w:lineRule="auto"/>
        <w:ind w:right="-28"/>
        <w:jc w:val="both"/>
        <w:rPr>
          <w:rFonts w:ascii="Arial" w:hAnsi="Arial" w:cs="Arial"/>
          <w:sz w:val="20"/>
          <w:szCs w:val="20"/>
        </w:rPr>
      </w:pPr>
      <w:r>
        <w:rPr>
          <w:rFonts w:ascii="Arial" w:hAnsi="Arial" w:cs="Arial"/>
          <w:sz w:val="20"/>
          <w:szCs w:val="20"/>
        </w:rPr>
        <w:t xml:space="preserve">A FUNDAÇÃO UNIVERSIDADE FEDERAL DE SÃO JOÃO DEL-REI, com sede à Praça Frei Orlando, 170, Centro, CEP: 36.307-352, São João del-Rei, MG, inscrito(a) no CNPJ/MF sob o nº 21.186.804/0001-05, neste ato representada pela Pró-Reitora de Administração, Fernanda Márcia de Lucas Resende, considerando o julgamento da licitação na modalidade de pregão, na forma eletrônica, para REGISTRO DE PREÇOS nº </w:t>
      </w:r>
      <w:r>
        <w:rPr>
          <w:rFonts w:ascii="Arial" w:hAnsi="Arial" w:cs="Arial"/>
          <w:color w:val="FF0000"/>
          <w:sz w:val="20"/>
          <w:szCs w:val="20"/>
        </w:rPr>
        <w:t xml:space="preserve">......./202..., </w:t>
      </w:r>
      <w:r>
        <w:rPr>
          <w:rFonts w:ascii="Arial" w:hAnsi="Arial" w:cs="Arial"/>
          <w:sz w:val="20"/>
          <w:szCs w:val="20"/>
        </w:rPr>
        <w:t xml:space="preserve">processo administrativo n.º </w:t>
      </w:r>
      <w:r>
        <w:rPr>
          <w:rFonts w:ascii="Arial" w:hAnsi="Arial" w:cs="Arial"/>
          <w:color w:val="FF0000"/>
          <w:sz w:val="20"/>
          <w:szCs w:val="20"/>
        </w:rPr>
        <w:t>23122.XXXX/20XX-XX</w:t>
      </w:r>
      <w:r>
        <w:rPr>
          <w:rFonts w:ascii="Arial" w:hAnsi="Arial" w:cs="Arial"/>
          <w:sz w:val="20"/>
          <w:szCs w:val="20"/>
        </w:rPr>
        <w:t>,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0C5EB18B" w14:textId="77777777" w:rsidR="00E878FB" w:rsidRDefault="00E878FB">
      <w:pPr>
        <w:widowControl w:val="0"/>
        <w:tabs>
          <w:tab w:val="center" w:pos="4779"/>
          <w:tab w:val="right" w:pos="9198"/>
        </w:tabs>
        <w:autoSpaceDE w:val="0"/>
        <w:autoSpaceDN w:val="0"/>
        <w:adjustRightInd w:val="0"/>
        <w:spacing w:before="120" w:after="120" w:line="276" w:lineRule="auto"/>
        <w:ind w:right="-28"/>
        <w:jc w:val="both"/>
        <w:rPr>
          <w:rFonts w:ascii="Arial" w:hAnsi="Arial" w:cs="Arial"/>
          <w:sz w:val="20"/>
          <w:szCs w:val="20"/>
        </w:rPr>
      </w:pPr>
    </w:p>
    <w:p w14:paraId="0B8E0AFD" w14:textId="77777777" w:rsidR="00E878FB" w:rsidRDefault="00C43B83">
      <w:pPr>
        <w:pStyle w:val="Nivel01"/>
        <w:numPr>
          <w:ilvl w:val="0"/>
          <w:numId w:val="10"/>
        </w:numPr>
        <w:spacing w:before="120" w:after="120" w:line="276" w:lineRule="auto"/>
        <w:ind w:left="0" w:firstLine="0"/>
      </w:pPr>
      <w:r>
        <w:t>DO OBJETO</w:t>
      </w:r>
    </w:p>
    <w:p w14:paraId="6A229E20" w14:textId="77777777" w:rsidR="00E878FB" w:rsidRDefault="00C43B83">
      <w:pPr>
        <w:pStyle w:val="Nivel2"/>
        <w:numPr>
          <w:ilvl w:val="1"/>
          <w:numId w:val="10"/>
        </w:numPr>
        <w:autoSpaceDE w:val="0"/>
        <w:autoSpaceDN w:val="0"/>
        <w:adjustRightInd w:val="0"/>
        <w:ind w:left="0" w:firstLine="0"/>
      </w:pPr>
      <w:r>
        <w:t xml:space="preserve">A presente Ata tem por objeto o registro de preços para a eventual contratação de </w:t>
      </w:r>
      <w:r>
        <w:rPr>
          <w:color w:val="FF0000"/>
        </w:rPr>
        <w:t xml:space="preserve">........ </w:t>
      </w:r>
      <w:r>
        <w:t xml:space="preserve">, especificado(s) no(s) item(ns)  abaixo relacionados do Termo de Referência, </w:t>
      </w:r>
      <w:r>
        <w:rPr>
          <w:color w:val="auto"/>
        </w:rPr>
        <w:t>anexo do edital de Licitação nº</w:t>
      </w:r>
      <w:r>
        <w:rPr>
          <w:i/>
          <w:color w:val="auto"/>
        </w:rPr>
        <w:t xml:space="preserve"> </w:t>
      </w:r>
      <w:r>
        <w:rPr>
          <w:color w:val="FF0000"/>
        </w:rPr>
        <w:t>........../20...,</w:t>
      </w:r>
      <w:r>
        <w:rPr>
          <w:i/>
          <w:color w:val="FF0000"/>
        </w:rPr>
        <w:t xml:space="preserve"> </w:t>
      </w:r>
      <w:r>
        <w:t>que é parte integrante desta Ata, assim como as propostas cujos preços tenham sido registrados, independentemente de transcrição.</w:t>
      </w:r>
    </w:p>
    <w:p w14:paraId="543A32D7" w14:textId="77777777" w:rsidR="00E878FB" w:rsidRDefault="00E878FB">
      <w:pPr>
        <w:pStyle w:val="Nivel2"/>
        <w:numPr>
          <w:ilvl w:val="0"/>
          <w:numId w:val="0"/>
        </w:numPr>
        <w:autoSpaceDE w:val="0"/>
        <w:autoSpaceDN w:val="0"/>
        <w:adjustRightInd w:val="0"/>
      </w:pPr>
    </w:p>
    <w:p w14:paraId="0C8EBC7C" w14:textId="77777777" w:rsidR="00E878FB" w:rsidRDefault="00C43B83">
      <w:pPr>
        <w:pStyle w:val="Nivel01"/>
        <w:numPr>
          <w:ilvl w:val="0"/>
          <w:numId w:val="10"/>
        </w:numPr>
        <w:spacing w:before="120" w:after="120" w:line="276" w:lineRule="auto"/>
        <w:ind w:left="0" w:firstLine="0"/>
      </w:pPr>
      <w:r>
        <w:t>DOS PREÇOS, ESPECIFICAÇÕES E QUANTITATIVOS</w:t>
      </w:r>
    </w:p>
    <w:p w14:paraId="3878D8DB" w14:textId="77777777" w:rsidR="00E878FB" w:rsidRDefault="00C43B83">
      <w:pPr>
        <w:pStyle w:val="Nivel2"/>
        <w:numPr>
          <w:ilvl w:val="1"/>
          <w:numId w:val="10"/>
        </w:numPr>
        <w:autoSpaceDE w:val="0"/>
        <w:autoSpaceDN w:val="0"/>
        <w:adjustRightInd w:val="0"/>
        <w:ind w:left="0" w:firstLine="0"/>
      </w:pPr>
      <w:r>
        <w:t xml:space="preserve">O preço registrado, as especificações do objeto, as quantidades de cada item, fornecedor(es) e as demais condições ofertadas na(s) proposta(s) são as que seguem: </w:t>
      </w:r>
    </w:p>
    <w:p w14:paraId="4B7611D8" w14:textId="77777777" w:rsidR="00E878FB" w:rsidRDefault="00E878FB">
      <w:pPr>
        <w:pStyle w:val="Nivel2"/>
        <w:numPr>
          <w:ilvl w:val="0"/>
          <w:numId w:val="0"/>
        </w:numPr>
        <w:autoSpaceDE w:val="0"/>
        <w:autoSpaceDN w:val="0"/>
        <w:adjustRightInd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7"/>
        <w:gridCol w:w="2629"/>
        <w:gridCol w:w="1189"/>
        <w:gridCol w:w="1419"/>
        <w:gridCol w:w="1475"/>
        <w:gridCol w:w="1243"/>
        <w:gridCol w:w="1118"/>
        <w:gridCol w:w="42"/>
      </w:tblGrid>
      <w:tr w:rsidR="00E878FB" w14:paraId="368ACA81" w14:textId="77777777">
        <w:trPr>
          <w:gridAfter w:val="1"/>
          <w:wAfter w:w="21" w:type="pct"/>
          <w:trHeight w:val="674"/>
        </w:trPr>
        <w:tc>
          <w:tcPr>
            <w:tcW w:w="402" w:type="pct"/>
            <w:vAlign w:val="center"/>
          </w:tcPr>
          <w:p w14:paraId="282EBA19" w14:textId="77777777" w:rsidR="00E878FB" w:rsidRDefault="00C43B83">
            <w:pPr>
              <w:widowControl w:val="0"/>
              <w:autoSpaceDE w:val="0"/>
              <w:autoSpaceDN w:val="0"/>
              <w:adjustRightInd w:val="0"/>
              <w:spacing w:line="360" w:lineRule="auto"/>
              <w:ind w:right="-30"/>
              <w:jc w:val="center"/>
              <w:rPr>
                <w:rFonts w:ascii="Arial" w:hAnsi="Arial" w:cs="Arial"/>
                <w:b/>
                <w:sz w:val="20"/>
                <w:szCs w:val="20"/>
              </w:rPr>
            </w:pPr>
            <w:r>
              <w:rPr>
                <w:rFonts w:ascii="Arial" w:hAnsi="Arial" w:cs="Arial"/>
                <w:b/>
                <w:sz w:val="20"/>
                <w:szCs w:val="20"/>
              </w:rPr>
              <w:t>ITEM</w:t>
            </w:r>
          </w:p>
        </w:tc>
        <w:tc>
          <w:tcPr>
            <w:tcW w:w="1326" w:type="pct"/>
            <w:vAlign w:val="center"/>
          </w:tcPr>
          <w:p w14:paraId="374B6677" w14:textId="77777777" w:rsidR="00E878FB" w:rsidRDefault="00C43B83">
            <w:pPr>
              <w:widowControl w:val="0"/>
              <w:autoSpaceDE w:val="0"/>
              <w:autoSpaceDN w:val="0"/>
              <w:adjustRightInd w:val="0"/>
              <w:spacing w:line="360" w:lineRule="auto"/>
              <w:ind w:right="-30"/>
              <w:jc w:val="center"/>
              <w:rPr>
                <w:rFonts w:ascii="Arial" w:hAnsi="Arial" w:cs="Arial"/>
                <w:b/>
                <w:sz w:val="20"/>
                <w:szCs w:val="20"/>
              </w:rPr>
            </w:pPr>
            <w:r>
              <w:rPr>
                <w:rFonts w:ascii="Arial" w:hAnsi="Arial" w:cs="Arial"/>
                <w:b/>
                <w:sz w:val="20"/>
                <w:szCs w:val="20"/>
              </w:rPr>
              <w:t>ESPECIFICAÇÃO</w:t>
            </w:r>
          </w:p>
        </w:tc>
        <w:tc>
          <w:tcPr>
            <w:tcW w:w="600" w:type="pct"/>
            <w:vAlign w:val="center"/>
          </w:tcPr>
          <w:p w14:paraId="334F2730" w14:textId="77777777" w:rsidR="00E878FB" w:rsidRDefault="00C43B83">
            <w:pPr>
              <w:widowControl w:val="0"/>
              <w:autoSpaceDE w:val="0"/>
              <w:autoSpaceDN w:val="0"/>
              <w:adjustRightInd w:val="0"/>
              <w:spacing w:line="360" w:lineRule="auto"/>
              <w:ind w:right="-30"/>
              <w:jc w:val="center"/>
              <w:rPr>
                <w:rFonts w:ascii="Arial" w:hAnsi="Arial" w:cs="Arial"/>
                <w:b/>
                <w:iCs/>
                <w:sz w:val="20"/>
                <w:szCs w:val="20"/>
              </w:rPr>
            </w:pPr>
            <w:r>
              <w:rPr>
                <w:rFonts w:ascii="Arial" w:hAnsi="Arial" w:cs="Arial"/>
                <w:b/>
                <w:iCs/>
                <w:sz w:val="20"/>
                <w:szCs w:val="20"/>
              </w:rPr>
              <w:t>MARCA</w:t>
            </w:r>
          </w:p>
        </w:tc>
        <w:tc>
          <w:tcPr>
            <w:tcW w:w="716" w:type="pct"/>
            <w:vAlign w:val="center"/>
          </w:tcPr>
          <w:p w14:paraId="1869263D" w14:textId="77777777" w:rsidR="00E878FB" w:rsidRDefault="00C43B83">
            <w:pPr>
              <w:widowControl w:val="0"/>
              <w:autoSpaceDE w:val="0"/>
              <w:autoSpaceDN w:val="0"/>
              <w:adjustRightInd w:val="0"/>
              <w:spacing w:line="360" w:lineRule="auto"/>
              <w:ind w:right="-30"/>
              <w:jc w:val="center"/>
              <w:rPr>
                <w:rFonts w:ascii="Arial" w:hAnsi="Arial" w:cs="Arial"/>
                <w:b/>
                <w:iCs/>
                <w:sz w:val="20"/>
                <w:szCs w:val="20"/>
              </w:rPr>
            </w:pPr>
            <w:r>
              <w:rPr>
                <w:rFonts w:ascii="Arial" w:hAnsi="Arial" w:cs="Arial"/>
                <w:b/>
                <w:iCs/>
                <w:sz w:val="20"/>
                <w:szCs w:val="20"/>
              </w:rPr>
              <w:t>MODELO</w:t>
            </w:r>
          </w:p>
        </w:tc>
        <w:tc>
          <w:tcPr>
            <w:tcW w:w="744" w:type="pct"/>
            <w:vAlign w:val="center"/>
          </w:tcPr>
          <w:p w14:paraId="3380C2C4" w14:textId="77777777" w:rsidR="00E878FB" w:rsidRDefault="00C43B83">
            <w:pPr>
              <w:widowControl w:val="0"/>
              <w:autoSpaceDE w:val="0"/>
              <w:autoSpaceDN w:val="0"/>
              <w:adjustRightInd w:val="0"/>
              <w:spacing w:line="360" w:lineRule="auto"/>
              <w:ind w:right="-30"/>
              <w:jc w:val="center"/>
              <w:rPr>
                <w:rFonts w:ascii="Arial" w:hAnsi="Arial" w:cs="Arial"/>
                <w:b/>
                <w:sz w:val="20"/>
                <w:szCs w:val="20"/>
              </w:rPr>
            </w:pPr>
            <w:r>
              <w:rPr>
                <w:rFonts w:ascii="Arial" w:hAnsi="Arial" w:cs="Arial"/>
                <w:b/>
                <w:sz w:val="20"/>
                <w:szCs w:val="20"/>
              </w:rPr>
              <w:t>UNIDADE</w:t>
            </w:r>
          </w:p>
        </w:tc>
        <w:tc>
          <w:tcPr>
            <w:tcW w:w="627" w:type="pct"/>
            <w:vAlign w:val="center"/>
          </w:tcPr>
          <w:p w14:paraId="08385628" w14:textId="77777777" w:rsidR="00E878FB" w:rsidRDefault="00C43B83">
            <w:pPr>
              <w:widowControl w:val="0"/>
              <w:autoSpaceDE w:val="0"/>
              <w:autoSpaceDN w:val="0"/>
              <w:adjustRightInd w:val="0"/>
              <w:spacing w:line="360" w:lineRule="auto"/>
              <w:ind w:right="-30"/>
              <w:jc w:val="center"/>
              <w:rPr>
                <w:rFonts w:ascii="Arial" w:hAnsi="Arial" w:cs="Arial"/>
                <w:b/>
                <w:sz w:val="20"/>
                <w:szCs w:val="20"/>
              </w:rPr>
            </w:pPr>
            <w:r>
              <w:rPr>
                <w:rFonts w:ascii="Arial" w:hAnsi="Arial" w:cs="Arial"/>
                <w:b/>
                <w:sz w:val="20"/>
                <w:szCs w:val="20"/>
              </w:rPr>
              <w:t>QUANT.</w:t>
            </w:r>
          </w:p>
        </w:tc>
        <w:tc>
          <w:tcPr>
            <w:tcW w:w="564" w:type="pct"/>
            <w:vAlign w:val="center"/>
          </w:tcPr>
          <w:p w14:paraId="334D470C" w14:textId="77777777" w:rsidR="00E878FB" w:rsidRDefault="00C43B83">
            <w:pPr>
              <w:widowControl w:val="0"/>
              <w:autoSpaceDE w:val="0"/>
              <w:autoSpaceDN w:val="0"/>
              <w:adjustRightInd w:val="0"/>
              <w:spacing w:line="360" w:lineRule="auto"/>
              <w:ind w:right="-30"/>
              <w:jc w:val="center"/>
              <w:rPr>
                <w:rFonts w:ascii="Arial" w:hAnsi="Arial" w:cs="Arial"/>
                <w:b/>
                <w:sz w:val="20"/>
                <w:szCs w:val="20"/>
              </w:rPr>
            </w:pPr>
            <w:r>
              <w:rPr>
                <w:rFonts w:ascii="Arial" w:hAnsi="Arial" w:cs="Arial"/>
                <w:b/>
                <w:sz w:val="20"/>
                <w:szCs w:val="20"/>
              </w:rPr>
              <w:t>VALOR UNITÁRIO</w:t>
            </w:r>
          </w:p>
        </w:tc>
      </w:tr>
      <w:tr w:rsidR="00E878FB" w14:paraId="264809BD" w14:textId="77777777">
        <w:trPr>
          <w:trHeight w:val="174"/>
        </w:trPr>
        <w:tc>
          <w:tcPr>
            <w:tcW w:w="402" w:type="pct"/>
          </w:tcPr>
          <w:p w14:paraId="100C4CC6"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c>
          <w:tcPr>
            <w:tcW w:w="1326" w:type="pct"/>
          </w:tcPr>
          <w:p w14:paraId="3D011929"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c>
          <w:tcPr>
            <w:tcW w:w="600" w:type="pct"/>
          </w:tcPr>
          <w:p w14:paraId="21852D8F"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c>
          <w:tcPr>
            <w:tcW w:w="716" w:type="pct"/>
          </w:tcPr>
          <w:p w14:paraId="2CF9A5EA"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c>
          <w:tcPr>
            <w:tcW w:w="744" w:type="pct"/>
          </w:tcPr>
          <w:p w14:paraId="77B49BE3"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c>
          <w:tcPr>
            <w:tcW w:w="627" w:type="pct"/>
          </w:tcPr>
          <w:p w14:paraId="3D75C95D"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c>
          <w:tcPr>
            <w:tcW w:w="564" w:type="pct"/>
          </w:tcPr>
          <w:p w14:paraId="38156D67"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c>
          <w:tcPr>
            <w:tcW w:w="21" w:type="pct"/>
          </w:tcPr>
          <w:p w14:paraId="144C2DF4" w14:textId="77777777" w:rsidR="00E878FB" w:rsidRDefault="00E878FB">
            <w:pPr>
              <w:widowControl w:val="0"/>
              <w:autoSpaceDE w:val="0"/>
              <w:autoSpaceDN w:val="0"/>
              <w:adjustRightInd w:val="0"/>
              <w:spacing w:line="360" w:lineRule="auto"/>
              <w:ind w:right="-30"/>
              <w:jc w:val="both"/>
              <w:rPr>
                <w:rFonts w:ascii="Arial" w:hAnsi="Arial" w:cs="Arial"/>
                <w:sz w:val="20"/>
                <w:szCs w:val="20"/>
              </w:rPr>
            </w:pPr>
          </w:p>
        </w:tc>
      </w:tr>
    </w:tbl>
    <w:p w14:paraId="4652C028" w14:textId="77777777" w:rsidR="00E878FB" w:rsidRDefault="00E878FB">
      <w:pPr>
        <w:spacing w:line="360" w:lineRule="auto"/>
        <w:rPr>
          <w:rFonts w:ascii="Arial" w:hAnsi="Arial" w:cs="Arial"/>
          <w:sz w:val="20"/>
          <w:szCs w:val="20"/>
          <w:lang w:eastAsia="en-US"/>
        </w:rPr>
      </w:pPr>
    </w:p>
    <w:p w14:paraId="52C632D3" w14:textId="77777777" w:rsidR="00E878FB" w:rsidRDefault="00C43B83">
      <w:pPr>
        <w:pStyle w:val="Nivel2"/>
        <w:numPr>
          <w:ilvl w:val="1"/>
          <w:numId w:val="10"/>
        </w:numPr>
        <w:autoSpaceDE w:val="0"/>
        <w:autoSpaceDN w:val="0"/>
        <w:adjustRightInd w:val="0"/>
        <w:ind w:left="0" w:firstLine="0"/>
        <w:rPr>
          <w:lang w:eastAsia="en-US"/>
        </w:rPr>
      </w:pPr>
      <w:r>
        <w:rPr>
          <w:lang w:eastAsia="en-US"/>
        </w:rPr>
        <w:t>A listagem do cadastro de reserva referente ao presente registro de preços consta como anexo a esta Ata.</w:t>
      </w:r>
    </w:p>
    <w:p w14:paraId="432C763C" w14:textId="77777777" w:rsidR="00E878FB" w:rsidRDefault="00C43B83">
      <w:pPr>
        <w:pStyle w:val="Nivel01"/>
        <w:numPr>
          <w:ilvl w:val="0"/>
          <w:numId w:val="10"/>
        </w:numPr>
        <w:spacing w:before="120" w:after="120" w:line="276" w:lineRule="auto"/>
        <w:ind w:left="0" w:firstLine="0"/>
      </w:pPr>
      <w:r>
        <w:t>ÓRGÃO(S) GERENCIADOR E  PARTICIPANTE(S)</w:t>
      </w:r>
    </w:p>
    <w:p w14:paraId="1E1AC85F" w14:textId="77777777" w:rsidR="00E878FB" w:rsidRDefault="00C43B83">
      <w:pPr>
        <w:pStyle w:val="Nivel2"/>
        <w:numPr>
          <w:ilvl w:val="1"/>
          <w:numId w:val="10"/>
        </w:numPr>
        <w:autoSpaceDE w:val="0"/>
        <w:autoSpaceDN w:val="0"/>
        <w:adjustRightInd w:val="0"/>
        <w:ind w:left="0" w:firstLine="0"/>
      </w:pPr>
      <w:r>
        <w:t>O órgão gerenciador será a Fundação Universidade Federal de São João del-Rei.</w:t>
      </w:r>
    </w:p>
    <w:p w14:paraId="0F7A8047" w14:textId="77777777" w:rsidR="00E878FB" w:rsidRDefault="00C43B83">
      <w:pPr>
        <w:pStyle w:val="Nvel2-Red"/>
        <w:numPr>
          <w:ilvl w:val="1"/>
          <w:numId w:val="10"/>
        </w:numPr>
        <w:autoSpaceDE w:val="0"/>
        <w:autoSpaceDN w:val="0"/>
        <w:adjustRightInd w:val="0"/>
        <w:ind w:left="0" w:firstLine="0"/>
        <w:rPr>
          <w:i w:val="0"/>
        </w:rPr>
      </w:pPr>
      <w:r>
        <w:rPr>
          <w:i w:val="0"/>
        </w:rPr>
        <w:t>São órgãos e entidades públicas participantes do registro de preços:</w:t>
      </w:r>
    </w:p>
    <w:p w14:paraId="2E30186E" w14:textId="77777777" w:rsidR="00E878FB" w:rsidRDefault="00E878FB">
      <w:pPr>
        <w:pStyle w:val="Nvel2-Red"/>
        <w:numPr>
          <w:ilvl w:val="0"/>
          <w:numId w:val="0"/>
        </w:numPr>
        <w:autoSpaceDE w:val="0"/>
        <w:autoSpaceDN w:val="0"/>
        <w:adjustRightInd w:val="0"/>
        <w:rPr>
          <w:i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244"/>
        <w:gridCol w:w="2245"/>
        <w:gridCol w:w="2245"/>
      </w:tblGrid>
      <w:tr w:rsidR="00E878FB" w14:paraId="2C6A0E3C" w14:textId="77777777">
        <w:tc>
          <w:tcPr>
            <w:tcW w:w="2244" w:type="dxa"/>
          </w:tcPr>
          <w:p w14:paraId="59FB6CDB" w14:textId="77777777" w:rsidR="00E878FB" w:rsidRDefault="00C43B83">
            <w:pPr>
              <w:widowControl w:val="0"/>
              <w:autoSpaceDE w:val="0"/>
              <w:autoSpaceDN w:val="0"/>
              <w:adjustRightInd w:val="0"/>
              <w:spacing w:line="360" w:lineRule="auto"/>
              <w:ind w:right="-30"/>
              <w:jc w:val="center"/>
              <w:rPr>
                <w:rFonts w:ascii="Arial" w:hAnsi="Arial" w:cs="Arial"/>
                <w:iCs/>
                <w:color w:val="FF0000"/>
                <w:sz w:val="20"/>
                <w:szCs w:val="20"/>
              </w:rPr>
            </w:pPr>
            <w:r>
              <w:rPr>
                <w:rFonts w:ascii="Arial" w:hAnsi="Arial" w:cs="Arial"/>
                <w:iCs/>
                <w:color w:val="FF0000"/>
                <w:sz w:val="20"/>
                <w:szCs w:val="20"/>
              </w:rPr>
              <w:t xml:space="preserve">Item nº </w:t>
            </w:r>
          </w:p>
        </w:tc>
        <w:tc>
          <w:tcPr>
            <w:tcW w:w="2244" w:type="dxa"/>
          </w:tcPr>
          <w:p w14:paraId="439F9CCB" w14:textId="77777777" w:rsidR="00E878FB" w:rsidRDefault="00C43B83">
            <w:pPr>
              <w:widowControl w:val="0"/>
              <w:autoSpaceDE w:val="0"/>
              <w:autoSpaceDN w:val="0"/>
              <w:adjustRightInd w:val="0"/>
              <w:spacing w:line="360" w:lineRule="auto"/>
              <w:ind w:right="-30"/>
              <w:jc w:val="center"/>
              <w:rPr>
                <w:rFonts w:ascii="Arial" w:hAnsi="Arial" w:cs="Arial"/>
                <w:iCs/>
                <w:color w:val="FF0000"/>
                <w:sz w:val="20"/>
                <w:szCs w:val="20"/>
              </w:rPr>
            </w:pPr>
            <w:r>
              <w:rPr>
                <w:rFonts w:ascii="Arial" w:hAnsi="Arial" w:cs="Arial"/>
                <w:iCs/>
                <w:color w:val="FF0000"/>
                <w:sz w:val="20"/>
                <w:szCs w:val="20"/>
              </w:rPr>
              <w:t>Órgãos Participantes</w:t>
            </w:r>
          </w:p>
        </w:tc>
        <w:tc>
          <w:tcPr>
            <w:tcW w:w="2245" w:type="dxa"/>
          </w:tcPr>
          <w:p w14:paraId="1E9B5DE0" w14:textId="77777777" w:rsidR="00E878FB" w:rsidRDefault="00C43B83">
            <w:pPr>
              <w:widowControl w:val="0"/>
              <w:autoSpaceDE w:val="0"/>
              <w:autoSpaceDN w:val="0"/>
              <w:adjustRightInd w:val="0"/>
              <w:spacing w:line="360" w:lineRule="auto"/>
              <w:ind w:right="-30"/>
              <w:jc w:val="center"/>
              <w:rPr>
                <w:rFonts w:ascii="Arial" w:hAnsi="Arial" w:cs="Arial"/>
                <w:iCs/>
                <w:color w:val="FF0000"/>
                <w:sz w:val="20"/>
                <w:szCs w:val="20"/>
              </w:rPr>
            </w:pPr>
            <w:r>
              <w:rPr>
                <w:rFonts w:ascii="Arial" w:hAnsi="Arial" w:cs="Arial"/>
                <w:iCs/>
                <w:color w:val="FF0000"/>
                <w:sz w:val="20"/>
                <w:szCs w:val="20"/>
              </w:rPr>
              <w:t>Unidade</w:t>
            </w:r>
          </w:p>
        </w:tc>
        <w:tc>
          <w:tcPr>
            <w:tcW w:w="2245" w:type="dxa"/>
          </w:tcPr>
          <w:p w14:paraId="0A34A993" w14:textId="77777777" w:rsidR="00E878FB" w:rsidRDefault="00C43B83">
            <w:pPr>
              <w:widowControl w:val="0"/>
              <w:autoSpaceDE w:val="0"/>
              <w:autoSpaceDN w:val="0"/>
              <w:adjustRightInd w:val="0"/>
              <w:spacing w:line="360" w:lineRule="auto"/>
              <w:ind w:right="-30"/>
              <w:jc w:val="center"/>
              <w:rPr>
                <w:rFonts w:ascii="Arial" w:hAnsi="Arial" w:cs="Arial"/>
                <w:iCs/>
                <w:color w:val="FF0000"/>
                <w:sz w:val="20"/>
                <w:szCs w:val="20"/>
              </w:rPr>
            </w:pPr>
            <w:r>
              <w:rPr>
                <w:rFonts w:ascii="Arial" w:hAnsi="Arial" w:cs="Arial"/>
                <w:iCs/>
                <w:color w:val="FF0000"/>
                <w:sz w:val="20"/>
                <w:szCs w:val="20"/>
              </w:rPr>
              <w:t>Quantidade</w:t>
            </w:r>
          </w:p>
        </w:tc>
      </w:tr>
      <w:tr w:rsidR="00E878FB" w14:paraId="1ED336E6" w14:textId="77777777">
        <w:tc>
          <w:tcPr>
            <w:tcW w:w="2244" w:type="dxa"/>
          </w:tcPr>
          <w:p w14:paraId="6FB2AC6E" w14:textId="77777777" w:rsidR="00E878FB" w:rsidRDefault="00E878FB">
            <w:pPr>
              <w:widowControl w:val="0"/>
              <w:autoSpaceDE w:val="0"/>
              <w:autoSpaceDN w:val="0"/>
              <w:adjustRightInd w:val="0"/>
              <w:spacing w:line="360" w:lineRule="auto"/>
              <w:ind w:right="-30"/>
              <w:jc w:val="center"/>
              <w:rPr>
                <w:rFonts w:ascii="Arial" w:hAnsi="Arial" w:cs="Arial"/>
                <w:iCs/>
                <w:color w:val="FF0000"/>
                <w:sz w:val="20"/>
                <w:szCs w:val="20"/>
              </w:rPr>
            </w:pPr>
          </w:p>
        </w:tc>
        <w:tc>
          <w:tcPr>
            <w:tcW w:w="2244" w:type="dxa"/>
          </w:tcPr>
          <w:p w14:paraId="24E6BF4F" w14:textId="77777777" w:rsidR="00E878FB" w:rsidRDefault="00E878FB">
            <w:pPr>
              <w:widowControl w:val="0"/>
              <w:autoSpaceDE w:val="0"/>
              <w:autoSpaceDN w:val="0"/>
              <w:adjustRightInd w:val="0"/>
              <w:spacing w:line="360" w:lineRule="auto"/>
              <w:ind w:right="-30"/>
              <w:jc w:val="center"/>
              <w:rPr>
                <w:rFonts w:ascii="Arial" w:hAnsi="Arial" w:cs="Arial"/>
                <w:iCs/>
                <w:color w:val="FF0000"/>
                <w:sz w:val="20"/>
                <w:szCs w:val="20"/>
              </w:rPr>
            </w:pPr>
          </w:p>
        </w:tc>
        <w:tc>
          <w:tcPr>
            <w:tcW w:w="2245" w:type="dxa"/>
          </w:tcPr>
          <w:p w14:paraId="00F1A9CD" w14:textId="77777777" w:rsidR="00E878FB" w:rsidRDefault="00E878FB">
            <w:pPr>
              <w:widowControl w:val="0"/>
              <w:autoSpaceDE w:val="0"/>
              <w:autoSpaceDN w:val="0"/>
              <w:adjustRightInd w:val="0"/>
              <w:spacing w:line="360" w:lineRule="auto"/>
              <w:ind w:right="-30"/>
              <w:jc w:val="center"/>
              <w:rPr>
                <w:rFonts w:ascii="Arial" w:hAnsi="Arial" w:cs="Arial"/>
                <w:iCs/>
                <w:color w:val="FF0000"/>
                <w:sz w:val="20"/>
                <w:szCs w:val="20"/>
              </w:rPr>
            </w:pPr>
          </w:p>
        </w:tc>
        <w:tc>
          <w:tcPr>
            <w:tcW w:w="2245" w:type="dxa"/>
          </w:tcPr>
          <w:p w14:paraId="207CBF4B" w14:textId="77777777" w:rsidR="00E878FB" w:rsidRDefault="00E878FB">
            <w:pPr>
              <w:widowControl w:val="0"/>
              <w:autoSpaceDE w:val="0"/>
              <w:autoSpaceDN w:val="0"/>
              <w:adjustRightInd w:val="0"/>
              <w:spacing w:line="360" w:lineRule="auto"/>
              <w:ind w:right="-30"/>
              <w:jc w:val="center"/>
              <w:rPr>
                <w:rFonts w:ascii="Arial" w:hAnsi="Arial" w:cs="Arial"/>
                <w:iCs/>
                <w:color w:val="FF0000"/>
                <w:sz w:val="20"/>
                <w:szCs w:val="20"/>
              </w:rPr>
            </w:pPr>
          </w:p>
        </w:tc>
      </w:tr>
      <w:tr w:rsidR="00E878FB" w14:paraId="229BD017" w14:textId="77777777">
        <w:tc>
          <w:tcPr>
            <w:tcW w:w="2244" w:type="dxa"/>
          </w:tcPr>
          <w:p w14:paraId="0A3AFE8F"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3CF63EAD"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59938025"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619BA75C"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r>
      <w:tr w:rsidR="00E878FB" w14:paraId="5E9F2FFD" w14:textId="77777777">
        <w:tc>
          <w:tcPr>
            <w:tcW w:w="2244" w:type="dxa"/>
          </w:tcPr>
          <w:p w14:paraId="69F2FEB5"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575B72B4"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55763A96"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15D5CD96"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r>
      <w:tr w:rsidR="00E878FB" w14:paraId="0F35367B" w14:textId="77777777">
        <w:tc>
          <w:tcPr>
            <w:tcW w:w="2244" w:type="dxa"/>
          </w:tcPr>
          <w:p w14:paraId="244E41A4"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4" w:type="dxa"/>
          </w:tcPr>
          <w:p w14:paraId="641B1916"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517B3443"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c>
          <w:tcPr>
            <w:tcW w:w="2245" w:type="dxa"/>
          </w:tcPr>
          <w:p w14:paraId="03401614" w14:textId="77777777" w:rsidR="00E878FB" w:rsidRDefault="00E878FB">
            <w:pPr>
              <w:widowControl w:val="0"/>
              <w:autoSpaceDE w:val="0"/>
              <w:autoSpaceDN w:val="0"/>
              <w:adjustRightInd w:val="0"/>
              <w:spacing w:line="360" w:lineRule="auto"/>
              <w:ind w:right="-30"/>
              <w:jc w:val="center"/>
              <w:rPr>
                <w:rFonts w:ascii="Arial" w:hAnsi="Arial" w:cs="Arial"/>
                <w:i/>
                <w:iCs/>
                <w:color w:val="FF0000"/>
                <w:sz w:val="20"/>
                <w:szCs w:val="20"/>
              </w:rPr>
            </w:pPr>
          </w:p>
        </w:tc>
      </w:tr>
    </w:tbl>
    <w:p w14:paraId="426BC8CB" w14:textId="77777777" w:rsidR="00E878FB" w:rsidRDefault="00C43B83">
      <w:pPr>
        <w:pStyle w:val="Nivel01"/>
        <w:numPr>
          <w:ilvl w:val="0"/>
          <w:numId w:val="10"/>
        </w:numPr>
        <w:spacing w:before="120" w:after="120" w:line="276" w:lineRule="auto"/>
        <w:ind w:left="0" w:firstLine="0"/>
        <w:rPr>
          <w:i/>
          <w:color w:val="FF0000"/>
        </w:rPr>
      </w:pPr>
      <w:r>
        <w:t>DA ADESÃO À ATA DE REGISTRO DE PREÇOS</w:t>
      </w:r>
    </w:p>
    <w:p w14:paraId="2BA02FBC" w14:textId="77777777" w:rsidR="00E878FB" w:rsidRDefault="00C43B83">
      <w:pPr>
        <w:pStyle w:val="Nvel2-Red"/>
        <w:numPr>
          <w:ilvl w:val="1"/>
          <w:numId w:val="10"/>
        </w:numPr>
        <w:autoSpaceDE w:val="0"/>
        <w:autoSpaceDN w:val="0"/>
        <w:adjustRightInd w:val="0"/>
        <w:ind w:left="0" w:firstLine="0"/>
        <w:rPr>
          <w:i w:val="0"/>
          <w:lang w:eastAsia="en-US"/>
        </w:rPr>
      </w:pPr>
      <w:r>
        <w:rPr>
          <w:i w:val="0"/>
          <w:lang w:eastAsia="en-US"/>
        </w:rPr>
        <w:t xml:space="preserve"> Não será admitida a adesão à ata de registro de preços decorrente desta licitação.</w:t>
      </w:r>
    </w:p>
    <w:p w14:paraId="24AD0B11" w14:textId="77777777" w:rsidR="00E878FB" w:rsidRDefault="00C43B83">
      <w:pPr>
        <w:pStyle w:val="SubTitNN"/>
      </w:pPr>
      <w:r>
        <w:t>Vedação a acréscimo de quantitativos</w:t>
      </w:r>
    </w:p>
    <w:p w14:paraId="69AC55BA" w14:textId="77777777" w:rsidR="00E878FB" w:rsidRDefault="00C43B83">
      <w:pPr>
        <w:pStyle w:val="Nivel2"/>
        <w:numPr>
          <w:ilvl w:val="1"/>
          <w:numId w:val="10"/>
        </w:numPr>
        <w:autoSpaceDE w:val="0"/>
        <w:autoSpaceDN w:val="0"/>
        <w:adjustRightInd w:val="0"/>
        <w:ind w:left="0" w:firstLine="0"/>
      </w:pPr>
      <w:r>
        <w:lastRenderedPageBreak/>
        <w:t>É vedado efetuar acréscimos nos quantitativos fixados na ata de registro de preços.</w:t>
      </w:r>
    </w:p>
    <w:p w14:paraId="0259B0A6" w14:textId="77777777" w:rsidR="00E878FB" w:rsidRDefault="00E878FB">
      <w:pPr>
        <w:pStyle w:val="Nivel2"/>
        <w:numPr>
          <w:ilvl w:val="0"/>
          <w:numId w:val="0"/>
        </w:numPr>
        <w:autoSpaceDE w:val="0"/>
        <w:autoSpaceDN w:val="0"/>
        <w:adjustRightInd w:val="0"/>
      </w:pPr>
    </w:p>
    <w:p w14:paraId="13F7D099" w14:textId="77777777" w:rsidR="00E878FB" w:rsidRDefault="00C43B83">
      <w:pPr>
        <w:pStyle w:val="Nivel01"/>
        <w:numPr>
          <w:ilvl w:val="0"/>
          <w:numId w:val="10"/>
        </w:numPr>
        <w:spacing w:before="120" w:after="120" w:line="276" w:lineRule="auto"/>
        <w:ind w:left="0" w:firstLine="0"/>
      </w:pPr>
      <w:r>
        <w:t>VALIDADE, FORMALIZAÇÃO DA ATA DE REGISTRO DE PREÇOS E CADASTRO RESERVA</w:t>
      </w:r>
    </w:p>
    <w:p w14:paraId="2D15C57C" w14:textId="77777777" w:rsidR="00E878FB" w:rsidRDefault="00C43B83">
      <w:pPr>
        <w:pStyle w:val="Nivel2"/>
        <w:numPr>
          <w:ilvl w:val="1"/>
          <w:numId w:val="10"/>
        </w:numPr>
        <w:autoSpaceDE w:val="0"/>
        <w:autoSpaceDN w:val="0"/>
        <w:adjustRightInd w:val="0"/>
        <w:ind w:left="0" w:firstLine="0"/>
        <w:rPr>
          <w:iCs/>
        </w:rPr>
      </w:pPr>
      <w:r>
        <w:t xml:space="preserve">A validade da Ata de Registro de Preços será de 1 (um) ano, contado a partir do primeiro dia útil subsequente à data de divulgação no PNCP, </w:t>
      </w:r>
      <w:r>
        <w:rPr>
          <w:color w:val="FF0000"/>
        </w:rPr>
        <w:t>podendo ser prorrogada por igual período, mediante a anuência do fornecedor, desde que comprovado o preço vantajoso</w:t>
      </w:r>
      <w:r>
        <w:t>.</w:t>
      </w:r>
    </w:p>
    <w:p w14:paraId="5671B08D" w14:textId="77777777" w:rsidR="00E878FB" w:rsidRDefault="00C43B83">
      <w:pPr>
        <w:pStyle w:val="Nvel3"/>
        <w:numPr>
          <w:ilvl w:val="2"/>
          <w:numId w:val="10"/>
        </w:numPr>
        <w:ind w:left="0" w:firstLine="284"/>
        <w:rPr>
          <w:color w:val="auto"/>
        </w:rPr>
      </w:pPr>
      <w:r>
        <w:rPr>
          <w:color w:val="auto"/>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2AB6662F" w14:textId="77777777" w:rsidR="00E878FB" w:rsidRDefault="00C43B83">
      <w:pPr>
        <w:pStyle w:val="Nvel3"/>
        <w:numPr>
          <w:ilvl w:val="2"/>
          <w:numId w:val="10"/>
        </w:numPr>
        <w:ind w:left="0" w:firstLine="284"/>
        <w:rPr>
          <w:color w:val="auto"/>
        </w:rPr>
      </w:pPr>
      <w:r>
        <w:rPr>
          <w:color w:val="auto"/>
        </w:rPr>
        <w:t>Na formalização do contrato ou do instrumento substituto deverá haver a indicação da disponibilidade dos créditos orçamentários respectivos.</w:t>
      </w:r>
    </w:p>
    <w:p w14:paraId="323F265D" w14:textId="77777777" w:rsidR="00E878FB" w:rsidRDefault="00C43B83">
      <w:pPr>
        <w:pStyle w:val="Nivel2"/>
        <w:numPr>
          <w:ilvl w:val="1"/>
          <w:numId w:val="10"/>
        </w:numPr>
        <w:autoSpaceDE w:val="0"/>
        <w:autoSpaceDN w:val="0"/>
        <w:adjustRightInd w:val="0"/>
        <w:ind w:left="0" w:firstLine="0"/>
      </w:pPr>
      <w:r>
        <w:t>A contratação com os fornecedores registrados na ata será formalizada pelo órgão ou pela en</w:t>
      </w:r>
      <w:r>
        <w:rPr>
          <w:rFonts w:eastAsia="Arial"/>
        </w:rPr>
        <w:t>ti</w:t>
      </w:r>
      <w:r>
        <w:t>dade interessada por intermédio de instrumento contratual, emissão de nota de empenho de despesa, autorização de compra ou outro instrumento hábil, conforme o art. 95 da Lei nº 14.133, de 2021.</w:t>
      </w:r>
    </w:p>
    <w:p w14:paraId="2D3173A1" w14:textId="77777777" w:rsidR="00E878FB" w:rsidRDefault="00C43B83">
      <w:pPr>
        <w:pStyle w:val="Nvel3"/>
        <w:numPr>
          <w:ilvl w:val="2"/>
          <w:numId w:val="10"/>
        </w:numPr>
        <w:ind w:left="0" w:firstLine="284"/>
        <w:rPr>
          <w:color w:val="auto"/>
        </w:rPr>
      </w:pPr>
      <w:r>
        <w:rPr>
          <w:color w:val="auto"/>
        </w:rPr>
        <w:t xml:space="preserve"> O instrumento contratual de que trata o item 5.2. deverá ser assinado no prazo de validade da ata de registro de preços.</w:t>
      </w:r>
    </w:p>
    <w:p w14:paraId="0526DABC" w14:textId="77777777" w:rsidR="00E878FB" w:rsidRDefault="00C43B83">
      <w:pPr>
        <w:pStyle w:val="Nivel2"/>
        <w:numPr>
          <w:ilvl w:val="1"/>
          <w:numId w:val="10"/>
        </w:numPr>
        <w:autoSpaceDE w:val="0"/>
        <w:autoSpaceDN w:val="0"/>
        <w:adjustRightInd w:val="0"/>
        <w:ind w:left="0" w:firstLine="0"/>
      </w:pPr>
      <w:r>
        <w:t>Os contratos decorrentes do sistema de registro de preços poderão ser alterados, observado o art. 124 da Lei nº 14.133, de 2021.</w:t>
      </w:r>
    </w:p>
    <w:p w14:paraId="29A94549" w14:textId="77777777" w:rsidR="00E878FB" w:rsidRDefault="00C43B83">
      <w:pPr>
        <w:pStyle w:val="Nivel2"/>
        <w:numPr>
          <w:ilvl w:val="1"/>
          <w:numId w:val="10"/>
        </w:numPr>
        <w:autoSpaceDE w:val="0"/>
        <w:autoSpaceDN w:val="0"/>
        <w:adjustRightInd w:val="0"/>
        <w:ind w:left="0" w:firstLine="0"/>
      </w:pPr>
      <w:r>
        <w:t>Após a homologação da licitação ou da contratação direta, deverão ser observadas as seguintes condições para formalização da ata de registro de preços:</w:t>
      </w:r>
    </w:p>
    <w:p w14:paraId="3BBAF1AB" w14:textId="77777777" w:rsidR="00E878FB" w:rsidRDefault="00C43B83">
      <w:pPr>
        <w:pStyle w:val="Nvel3"/>
        <w:numPr>
          <w:ilvl w:val="2"/>
          <w:numId w:val="10"/>
        </w:numPr>
        <w:ind w:left="0" w:firstLine="284"/>
        <w:rPr>
          <w:color w:val="auto"/>
        </w:rPr>
      </w:pPr>
      <w:r>
        <w:rPr>
          <w:color w:val="auto"/>
        </w:rPr>
        <w:t>Serão registrados na ata os preços e os quantita</w:t>
      </w:r>
      <w:r>
        <w:rPr>
          <w:rFonts w:eastAsia="Arial"/>
          <w:color w:val="auto"/>
        </w:rPr>
        <w:t>ti</w:t>
      </w:r>
      <w:r>
        <w:rPr>
          <w:color w:val="auto"/>
        </w:rPr>
        <w:t xml:space="preserve">vos do adjudicatário, devendo ser observada a possibilidade de o licitante oferecer ou não proposta em quantitativo inferior ao máximo previsto </w:t>
      </w:r>
      <w:r>
        <w:rPr>
          <w:iCs/>
          <w:color w:val="auto"/>
        </w:rPr>
        <w:t xml:space="preserve">no edital </w:t>
      </w:r>
      <w:r>
        <w:rPr>
          <w:color w:val="auto"/>
        </w:rPr>
        <w:t>e se obrigar nos limites dela;</w:t>
      </w:r>
    </w:p>
    <w:p w14:paraId="585839DC" w14:textId="77777777" w:rsidR="00E878FB" w:rsidRDefault="00C43B83">
      <w:pPr>
        <w:pStyle w:val="Nvel3"/>
        <w:numPr>
          <w:ilvl w:val="2"/>
          <w:numId w:val="10"/>
        </w:numPr>
        <w:ind w:left="0" w:firstLine="284"/>
        <w:rPr>
          <w:color w:val="auto"/>
        </w:rPr>
      </w:pPr>
      <w:r>
        <w:rPr>
          <w:color w:val="auto"/>
        </w:rPr>
        <w:t>Será incluído na ata, na forma de anexo, o registro dos licitantes ou dos fornecedores que:</w:t>
      </w:r>
    </w:p>
    <w:p w14:paraId="6A9C1E7B" w14:textId="77777777" w:rsidR="00E878FB" w:rsidRDefault="00C43B83">
      <w:pPr>
        <w:pStyle w:val="Nvel4"/>
        <w:numPr>
          <w:ilvl w:val="3"/>
          <w:numId w:val="10"/>
        </w:numPr>
        <w:ind w:left="0" w:firstLine="567"/>
        <w:rPr>
          <w:color w:val="auto"/>
        </w:rPr>
      </w:pPr>
      <w:r>
        <w:rPr>
          <w:color w:val="auto"/>
        </w:rPr>
        <w:t xml:space="preserve">Aceitarem cotar os bens, as obras ou os serviços com preços iguais aos do adjudicatário, observada a classificação da licitação; e </w:t>
      </w:r>
    </w:p>
    <w:p w14:paraId="6E033E26" w14:textId="77777777" w:rsidR="00E878FB" w:rsidRDefault="00C43B83">
      <w:pPr>
        <w:pStyle w:val="Nvel4"/>
        <w:numPr>
          <w:ilvl w:val="3"/>
          <w:numId w:val="10"/>
        </w:numPr>
        <w:ind w:left="0" w:firstLine="567"/>
        <w:rPr>
          <w:color w:val="auto"/>
        </w:rPr>
      </w:pPr>
      <w:r>
        <w:rPr>
          <w:color w:val="auto"/>
        </w:rPr>
        <w:t xml:space="preserve">Mantiverem sua proposta original. </w:t>
      </w:r>
      <w:bookmarkStart w:id="7" w:name="cadastro_reserva"/>
      <w:bookmarkEnd w:id="7"/>
    </w:p>
    <w:p w14:paraId="097A77FF" w14:textId="77777777" w:rsidR="00E878FB" w:rsidRDefault="00C43B83">
      <w:pPr>
        <w:pStyle w:val="Nvel3"/>
        <w:numPr>
          <w:ilvl w:val="2"/>
          <w:numId w:val="10"/>
        </w:numPr>
        <w:ind w:left="0" w:firstLine="567"/>
        <w:rPr>
          <w:color w:val="auto"/>
        </w:rPr>
      </w:pPr>
      <w:r>
        <w:rPr>
          <w:color w:val="auto"/>
        </w:rPr>
        <w:t>Será respeitada, nas contratações, a ordem de classificação dos licitantes ou dos fornecedores registrados na ata.</w:t>
      </w:r>
    </w:p>
    <w:p w14:paraId="39732C76" w14:textId="77777777" w:rsidR="00E878FB" w:rsidRDefault="00C43B83">
      <w:pPr>
        <w:pStyle w:val="Nivel2"/>
        <w:numPr>
          <w:ilvl w:val="1"/>
          <w:numId w:val="10"/>
        </w:numPr>
        <w:autoSpaceDE w:val="0"/>
        <w:autoSpaceDN w:val="0"/>
        <w:adjustRightInd w:val="0"/>
        <w:ind w:left="0" w:firstLine="0"/>
      </w:pPr>
      <w:r>
        <w:t>O registro a que se refere o item 5.4.2</w:t>
      </w:r>
      <w:r>
        <w:rPr>
          <w:b/>
          <w:bCs/>
        </w:rPr>
        <w:t xml:space="preserve"> </w:t>
      </w:r>
      <w:r>
        <w:t>tem por obje</w:t>
      </w:r>
      <w:r>
        <w:rPr>
          <w:rFonts w:eastAsia="Arial"/>
        </w:rPr>
        <w:t>ti</w:t>
      </w:r>
      <w:r>
        <w:t>vo a formação de cadastro de reserva para o caso de impossibilidade de atendimento pelo signatário da ata.</w:t>
      </w:r>
    </w:p>
    <w:p w14:paraId="3DBAB8C5" w14:textId="77777777" w:rsidR="00E878FB" w:rsidRDefault="00C43B83">
      <w:pPr>
        <w:pStyle w:val="Nivel2"/>
        <w:numPr>
          <w:ilvl w:val="1"/>
          <w:numId w:val="10"/>
        </w:numPr>
        <w:autoSpaceDE w:val="0"/>
        <w:autoSpaceDN w:val="0"/>
        <w:adjustRightInd w:val="0"/>
        <w:ind w:left="0" w:firstLine="0"/>
      </w:pPr>
      <w:r>
        <w:t>Para fins da ordem de classificação, os licitantes ou fornecedores que aceitarem reduzir suas propostas para o preço do adjudicatário antecederão aqueles que mantiverem sua proposta original.</w:t>
      </w:r>
    </w:p>
    <w:p w14:paraId="2EDA262D" w14:textId="77777777" w:rsidR="00E878FB" w:rsidRDefault="00C43B83">
      <w:pPr>
        <w:pStyle w:val="Nivel2"/>
        <w:numPr>
          <w:ilvl w:val="1"/>
          <w:numId w:val="10"/>
        </w:numPr>
        <w:autoSpaceDE w:val="0"/>
        <w:autoSpaceDN w:val="0"/>
        <w:adjustRightInd w:val="0"/>
        <w:ind w:left="0" w:firstLine="0"/>
      </w:pPr>
      <w:r>
        <w:t xml:space="preserve">A habilitação dos licitantes que comporão o cadastro de reserva a que se refere o item </w:t>
      </w:r>
      <w:r>
        <w:fldChar w:fldCharType="begin"/>
      </w:r>
      <w:r>
        <w:instrText xml:space="preserve"> REF cadastro_reserva \r \h  \* MERGEFORMAT </w:instrText>
      </w:r>
      <w:r>
        <w:fldChar w:fldCharType="separate"/>
      </w:r>
      <w:r>
        <w:t>5.4.2.2</w:t>
      </w:r>
      <w:r>
        <w:fldChar w:fldCharType="end"/>
      </w:r>
      <w:r>
        <w:t xml:space="preserve"> somente será efetuada quando houver necessidade de contratação dos licitantes remanescentes, nas seguintes hipóteses:</w:t>
      </w:r>
      <w:bookmarkStart w:id="8" w:name="habilitacao_reserva"/>
      <w:bookmarkEnd w:id="8"/>
    </w:p>
    <w:p w14:paraId="513ECDC7" w14:textId="77777777" w:rsidR="00E878FB" w:rsidRDefault="00C43B83">
      <w:pPr>
        <w:pStyle w:val="Nvel3"/>
        <w:numPr>
          <w:ilvl w:val="2"/>
          <w:numId w:val="10"/>
        </w:numPr>
        <w:ind w:left="0" w:firstLine="284"/>
        <w:rPr>
          <w:color w:val="auto"/>
        </w:rPr>
      </w:pPr>
      <w:r>
        <w:rPr>
          <w:color w:val="auto"/>
        </w:rPr>
        <w:t xml:space="preserve">Quando o licitante vencedor não assinar a ata de registro de preços, no prazo e nas condições estabelecidos </w:t>
      </w:r>
      <w:r>
        <w:rPr>
          <w:iCs/>
          <w:color w:val="auto"/>
        </w:rPr>
        <w:t>no edital;</w:t>
      </w:r>
      <w:r>
        <w:rPr>
          <w:color w:val="auto"/>
        </w:rPr>
        <w:t xml:space="preserve"> e</w:t>
      </w:r>
    </w:p>
    <w:p w14:paraId="1C4A060B" w14:textId="77777777" w:rsidR="00E878FB" w:rsidRDefault="00C43B83">
      <w:pPr>
        <w:pStyle w:val="Nvel3"/>
        <w:numPr>
          <w:ilvl w:val="2"/>
          <w:numId w:val="10"/>
        </w:numPr>
        <w:ind w:left="0" w:firstLine="284"/>
        <w:rPr>
          <w:color w:val="auto"/>
        </w:rPr>
      </w:pPr>
      <w:r>
        <w:rPr>
          <w:color w:val="auto"/>
        </w:rPr>
        <w:t xml:space="preserve">Quando houver o cancelamento do registro do licitante ou do registro de preços nas hipóteses previstas no item </w:t>
      </w:r>
      <w:r>
        <w:rPr>
          <w:color w:val="auto"/>
        </w:rPr>
        <w:fldChar w:fldCharType="begin"/>
      </w:r>
      <w:r>
        <w:rPr>
          <w:color w:val="auto"/>
        </w:rPr>
        <w:instrText xml:space="preserve"> REF cancelamento \r \h  \* MERGEFORMAT </w:instrText>
      </w:r>
      <w:r>
        <w:rPr>
          <w:color w:val="auto"/>
        </w:rPr>
      </w:r>
      <w:r>
        <w:rPr>
          <w:color w:val="auto"/>
        </w:rPr>
        <w:fldChar w:fldCharType="separate"/>
      </w:r>
      <w:r>
        <w:rPr>
          <w:color w:val="auto"/>
        </w:rPr>
        <w:t>9</w:t>
      </w:r>
      <w:r>
        <w:rPr>
          <w:color w:val="auto"/>
        </w:rPr>
        <w:fldChar w:fldCharType="end"/>
      </w:r>
      <w:r>
        <w:rPr>
          <w:color w:val="auto"/>
        </w:rPr>
        <w:t>.</w:t>
      </w:r>
    </w:p>
    <w:p w14:paraId="1D03CCAD" w14:textId="77777777" w:rsidR="00E878FB" w:rsidRDefault="00C43B83">
      <w:pPr>
        <w:pStyle w:val="Nivel2"/>
        <w:numPr>
          <w:ilvl w:val="1"/>
          <w:numId w:val="10"/>
        </w:numPr>
        <w:autoSpaceDE w:val="0"/>
        <w:autoSpaceDN w:val="0"/>
        <w:adjustRightInd w:val="0"/>
        <w:ind w:left="0" w:firstLine="0"/>
      </w:pPr>
      <w:r>
        <w:t>O preço registrado com indicação dos licitantes e fornecedores será divulgado no PNCP e ficará disponibilizado durante a vigência da ata de registro de preços.</w:t>
      </w:r>
    </w:p>
    <w:p w14:paraId="1830803D" w14:textId="77777777" w:rsidR="00E878FB" w:rsidRDefault="00C43B83">
      <w:pPr>
        <w:pStyle w:val="Nivel2"/>
        <w:numPr>
          <w:ilvl w:val="1"/>
          <w:numId w:val="10"/>
        </w:numPr>
        <w:autoSpaceDE w:val="0"/>
        <w:autoSpaceDN w:val="0"/>
        <w:adjustRightInd w:val="0"/>
        <w:ind w:left="0" w:firstLine="0"/>
      </w:pPr>
      <w:r>
        <w:t xml:space="preserve">Após a homologação da licitação ou da contratação direta, o licitante mais bem classificado ou o fornecedor, no caso da contratação direta, será convocado para assinar a ata de registro de preços, no prazo e </w:t>
      </w:r>
      <w:r>
        <w:lastRenderedPageBreak/>
        <w:t>nas condições estabelecidos no edital de licitação ou no aviso de contratação direta, sob pena de decair o direito, sem prejuízo das sanções previstas na Lei nº 14.133, de 2021.</w:t>
      </w:r>
    </w:p>
    <w:p w14:paraId="57061A83" w14:textId="77777777" w:rsidR="00E878FB" w:rsidRDefault="00C43B83">
      <w:pPr>
        <w:pStyle w:val="Nvel3"/>
        <w:numPr>
          <w:ilvl w:val="2"/>
          <w:numId w:val="10"/>
        </w:numPr>
        <w:ind w:left="0" w:firstLine="284"/>
        <w:rPr>
          <w:color w:val="auto"/>
        </w:rPr>
      </w:pPr>
      <w:r>
        <w:rPr>
          <w:color w:val="auto"/>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0923C7D8" w14:textId="77777777" w:rsidR="00E878FB" w:rsidRDefault="00C43B83">
      <w:pPr>
        <w:pStyle w:val="Nivel2"/>
        <w:numPr>
          <w:ilvl w:val="1"/>
          <w:numId w:val="10"/>
        </w:numPr>
        <w:autoSpaceDE w:val="0"/>
        <w:autoSpaceDN w:val="0"/>
        <w:adjustRightInd w:val="0"/>
        <w:ind w:left="0" w:firstLine="0"/>
      </w:pPr>
      <w:r>
        <w:t>A ata de registro de preços será assinada por meio de assinatura digital e disponibilizada no Sistema de Registro de Preços.</w:t>
      </w:r>
    </w:p>
    <w:p w14:paraId="72889F2B" w14:textId="77777777" w:rsidR="00E878FB" w:rsidRDefault="00C43B83">
      <w:pPr>
        <w:pStyle w:val="Nivel2"/>
        <w:numPr>
          <w:ilvl w:val="1"/>
          <w:numId w:val="10"/>
        </w:numPr>
        <w:autoSpaceDE w:val="0"/>
        <w:autoSpaceDN w:val="0"/>
        <w:adjustRightInd w:val="0"/>
        <w:ind w:left="0" w:firstLine="0"/>
      </w:pPr>
      <w:r>
        <w:t xml:space="preserve">Quando o convocado não assinar a ata de registro de preços no prazo e nas condições estabelecidos no edital ou no aviso de contratação, e observado o disposto no item </w:t>
      </w:r>
      <w:r>
        <w:fldChar w:fldCharType="begin"/>
      </w:r>
      <w:r>
        <w:instrText xml:space="preserve"> REF habilitacao_reserva \r \h  \* MERGEFORMAT </w:instrText>
      </w:r>
      <w:r>
        <w:fldChar w:fldCharType="separate"/>
      </w:r>
      <w:r>
        <w:t>5.7</w:t>
      </w:r>
      <w:r>
        <w:fldChar w:fldCharType="end"/>
      </w:r>
      <w:r>
        <w:t>, observando o item 5.7 e subitens, fica facultado à Administração convocar os licitantes remanescentes do cadastro de reserva, na ordem de classificação, para fazê-lo em igual prazo e nas condições propostas pelo primeiro classificado.</w:t>
      </w:r>
      <w:bookmarkStart w:id="9" w:name="recusa_dos_que_baixaram_preco"/>
      <w:bookmarkEnd w:id="9"/>
    </w:p>
    <w:p w14:paraId="28309323" w14:textId="77777777" w:rsidR="00E878FB" w:rsidRDefault="00C43B83">
      <w:pPr>
        <w:pStyle w:val="Nivel2"/>
        <w:numPr>
          <w:ilvl w:val="1"/>
          <w:numId w:val="10"/>
        </w:numPr>
        <w:autoSpaceDE w:val="0"/>
        <w:autoSpaceDN w:val="0"/>
        <w:adjustRightInd w:val="0"/>
        <w:ind w:left="0" w:firstLine="0"/>
      </w:pPr>
      <w:r>
        <w:t>Na hipótese de nenhum dos licitantes que trata o item 5.4.2.1, aceitar a contratação nos termos do item anterior, a Administração, observados o valor es</w:t>
      </w:r>
      <w:r>
        <w:rPr>
          <w:rFonts w:eastAsia="Arial"/>
        </w:rPr>
        <w:t>ti</w:t>
      </w:r>
      <w:r>
        <w:t xml:space="preserve">mado e sua eventual atualização </w:t>
      </w:r>
      <w:r>
        <w:rPr>
          <w:color w:val="auto"/>
        </w:rPr>
        <w:t xml:space="preserve">nos termos </w:t>
      </w:r>
      <w:r>
        <w:rPr>
          <w:iCs/>
          <w:color w:val="auto"/>
        </w:rPr>
        <w:t>do edital</w:t>
      </w:r>
      <w:r>
        <w:rPr>
          <w:color w:val="auto"/>
        </w:rPr>
        <w:t xml:space="preserve">, </w:t>
      </w:r>
      <w:r>
        <w:t>poderá:</w:t>
      </w:r>
    </w:p>
    <w:p w14:paraId="189AB9AC" w14:textId="77777777" w:rsidR="00E878FB" w:rsidRDefault="00C43B83">
      <w:pPr>
        <w:pStyle w:val="Nvel3"/>
        <w:numPr>
          <w:ilvl w:val="2"/>
          <w:numId w:val="10"/>
        </w:numPr>
        <w:ind w:left="0" w:firstLine="426"/>
        <w:rPr>
          <w:color w:val="auto"/>
        </w:rPr>
      </w:pPr>
      <w:r>
        <w:rPr>
          <w:color w:val="auto"/>
        </w:rPr>
        <w:t>Convocar para negociação os demais licitantes ou fornecedores remanescentes cujos preços foram registrados sem redução, observada a ordem de classificação, com vistas à obtenção de preço melhor, mesmo que acima do preço do adjudicatário; ou</w:t>
      </w:r>
    </w:p>
    <w:p w14:paraId="0892BED8" w14:textId="77777777" w:rsidR="00E878FB" w:rsidRDefault="00C43B83">
      <w:pPr>
        <w:pStyle w:val="Nvel3"/>
        <w:numPr>
          <w:ilvl w:val="2"/>
          <w:numId w:val="10"/>
        </w:numPr>
        <w:ind w:left="0" w:firstLine="426"/>
        <w:rPr>
          <w:color w:val="auto"/>
        </w:rPr>
      </w:pPr>
      <w:r>
        <w:rPr>
          <w:color w:val="auto"/>
        </w:rPr>
        <w:t>Adjudicar e firmar o contrato nas condições ofertadas pelos licitantes ou fornecedores remanescentes, atendida a ordem classificatória, quando frustrada a negociação de melhor condição.</w:t>
      </w:r>
    </w:p>
    <w:p w14:paraId="1F0C21A2" w14:textId="77777777" w:rsidR="00E878FB" w:rsidRDefault="00C43B83">
      <w:pPr>
        <w:pStyle w:val="Nivel2"/>
        <w:numPr>
          <w:ilvl w:val="1"/>
          <w:numId w:val="10"/>
        </w:numPr>
        <w:autoSpaceDE w:val="0"/>
        <w:autoSpaceDN w:val="0"/>
        <w:adjustRightInd w:val="0"/>
        <w:ind w:left="0" w:firstLine="0"/>
      </w:pPr>
      <w: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49CFD99" w14:textId="77777777" w:rsidR="00E878FB" w:rsidRDefault="00E878FB">
      <w:pPr>
        <w:pStyle w:val="Nivel2"/>
        <w:numPr>
          <w:ilvl w:val="0"/>
          <w:numId w:val="0"/>
        </w:numPr>
        <w:autoSpaceDE w:val="0"/>
        <w:autoSpaceDN w:val="0"/>
        <w:adjustRightInd w:val="0"/>
      </w:pPr>
    </w:p>
    <w:p w14:paraId="4E6F80CC" w14:textId="77777777" w:rsidR="00E878FB" w:rsidRDefault="00C43B83">
      <w:pPr>
        <w:pStyle w:val="Nivel01"/>
        <w:numPr>
          <w:ilvl w:val="0"/>
          <w:numId w:val="10"/>
        </w:numPr>
        <w:spacing w:before="120" w:after="120" w:line="276" w:lineRule="auto"/>
        <w:ind w:left="0" w:firstLine="0"/>
      </w:pPr>
      <w:r>
        <w:t>ALTERAÇÃO OU ATUALIZAÇÃO DOS PREÇOS REGISTRADOS</w:t>
      </w:r>
    </w:p>
    <w:p w14:paraId="264EE474" w14:textId="77777777" w:rsidR="00E878FB" w:rsidRDefault="00C43B83">
      <w:pPr>
        <w:pStyle w:val="Nivel2"/>
        <w:numPr>
          <w:ilvl w:val="1"/>
          <w:numId w:val="10"/>
        </w:numPr>
        <w:autoSpaceDE w:val="0"/>
        <w:autoSpaceDN w:val="0"/>
        <w:adjustRightInd w:val="0"/>
        <w:ind w:left="0" w:firstLine="0"/>
      </w:pPr>
      <w:r>
        <w:t>Os preços registrados poderão ser alterados ou atualizados em decorrência de eventual redução dos preços pra</w:t>
      </w:r>
      <w:r>
        <w:rPr>
          <w:rFonts w:eastAsia="Calibri"/>
        </w:rPr>
        <w:t>ti</w:t>
      </w:r>
      <w:r>
        <w:t>cados no mercado ou de fato que eleve o custo dos bens, das obras ou dos serviços registrados, nas seguintes situações:</w:t>
      </w:r>
    </w:p>
    <w:p w14:paraId="6CC48678" w14:textId="77777777" w:rsidR="00E878FB" w:rsidRDefault="00C43B83">
      <w:pPr>
        <w:pStyle w:val="Nvel3"/>
        <w:numPr>
          <w:ilvl w:val="2"/>
          <w:numId w:val="10"/>
        </w:numPr>
        <w:ind w:left="0" w:firstLine="426"/>
        <w:rPr>
          <w:color w:val="auto"/>
        </w:rPr>
      </w:pPr>
      <w:r>
        <w:rPr>
          <w:color w:val="auto"/>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1C8552F1" w14:textId="77777777" w:rsidR="00E878FB" w:rsidRDefault="00C43B83">
      <w:pPr>
        <w:pStyle w:val="Nvel3"/>
        <w:numPr>
          <w:ilvl w:val="2"/>
          <w:numId w:val="10"/>
        </w:numPr>
        <w:ind w:left="0" w:firstLine="426"/>
        <w:rPr>
          <w:color w:val="auto"/>
        </w:rPr>
      </w:pPr>
      <w:r>
        <w:rPr>
          <w:color w:val="auto"/>
        </w:rPr>
        <w:t>Em caso de criação, alteração ou ex</w:t>
      </w:r>
      <w:r>
        <w:rPr>
          <w:rFonts w:eastAsia="Calibri"/>
          <w:color w:val="auto"/>
        </w:rPr>
        <w:t>ti</w:t>
      </w:r>
      <w:r>
        <w:rPr>
          <w:color w:val="auto"/>
        </w:rPr>
        <w:t xml:space="preserve">nção de quaisquer tributos ou encargos legais ou a superveniência de disposições legais, com comprovada repercussão sobre os preços registrados; </w:t>
      </w:r>
    </w:p>
    <w:p w14:paraId="0802047E" w14:textId="77777777" w:rsidR="00E878FB" w:rsidRDefault="00C43B83">
      <w:pPr>
        <w:pStyle w:val="Nvel3"/>
        <w:numPr>
          <w:ilvl w:val="2"/>
          <w:numId w:val="10"/>
        </w:numPr>
        <w:ind w:left="0" w:firstLine="426"/>
        <w:rPr>
          <w:color w:val="auto"/>
        </w:rPr>
      </w:pPr>
      <w:r>
        <w:rPr>
          <w:color w:val="auto"/>
        </w:rPr>
        <w:t>Na hipótese de previsão no edital ou no aviso de contratação direta de cláusula de reajustamento ou repactuação sobre os preços registrados, nos termos da Lei nº 14.133, de 2021.</w:t>
      </w:r>
    </w:p>
    <w:p w14:paraId="64F5C929" w14:textId="77777777" w:rsidR="00E878FB" w:rsidRDefault="00C43B83">
      <w:pPr>
        <w:pStyle w:val="Nvel4"/>
        <w:numPr>
          <w:ilvl w:val="3"/>
          <w:numId w:val="10"/>
        </w:numPr>
        <w:ind w:left="0" w:firstLine="709"/>
        <w:rPr>
          <w:color w:val="auto"/>
        </w:rPr>
      </w:pPr>
      <w:r>
        <w:rPr>
          <w:color w:val="auto"/>
        </w:rPr>
        <w:t xml:space="preserve">No caso do reajustamento, deverá ser respeitada a contagem da anualidade e o índice previstos para a contratação;  </w:t>
      </w:r>
    </w:p>
    <w:p w14:paraId="216F0740" w14:textId="77777777" w:rsidR="00E878FB" w:rsidRDefault="00C43B83">
      <w:pPr>
        <w:pStyle w:val="Nvel4"/>
        <w:numPr>
          <w:ilvl w:val="3"/>
          <w:numId w:val="10"/>
        </w:numPr>
        <w:ind w:left="0" w:firstLine="709"/>
        <w:rPr>
          <w:color w:val="auto"/>
        </w:rPr>
      </w:pPr>
      <w:r>
        <w:rPr>
          <w:color w:val="auto"/>
        </w:rPr>
        <w:t>No caso da repactuação, poderá ser a pedido do interessado, conforme critérios definidos para a contratação.</w:t>
      </w:r>
    </w:p>
    <w:p w14:paraId="311D7C92" w14:textId="77777777" w:rsidR="00E878FB" w:rsidRDefault="00E878FB">
      <w:pPr>
        <w:pStyle w:val="Nvel4"/>
        <w:ind w:left="709"/>
        <w:rPr>
          <w:color w:val="auto"/>
        </w:rPr>
      </w:pPr>
    </w:p>
    <w:p w14:paraId="11DAAEE1" w14:textId="77777777" w:rsidR="00E878FB" w:rsidRDefault="00C43B83">
      <w:pPr>
        <w:pStyle w:val="Nivel01"/>
        <w:numPr>
          <w:ilvl w:val="0"/>
          <w:numId w:val="10"/>
        </w:numPr>
        <w:spacing w:before="120" w:after="120" w:line="276" w:lineRule="auto"/>
        <w:ind w:left="0" w:firstLine="0"/>
      </w:pPr>
      <w:r>
        <w:t>NEGOCIAÇÃO DE PREÇOS REGISTRADOS</w:t>
      </w:r>
    </w:p>
    <w:p w14:paraId="20F3F773" w14:textId="77777777" w:rsidR="00E878FB" w:rsidRDefault="00C43B83">
      <w:pPr>
        <w:pStyle w:val="Nivel2"/>
        <w:numPr>
          <w:ilvl w:val="1"/>
          <w:numId w:val="10"/>
        </w:numPr>
        <w:autoSpaceDE w:val="0"/>
        <w:autoSpaceDN w:val="0"/>
        <w:adjustRightInd w:val="0"/>
        <w:ind w:left="0" w:firstLine="0"/>
      </w:pPr>
      <w:r>
        <w:t>Na hipótese de o preço registrado tornar-se superior ao preço pra</w:t>
      </w:r>
      <w:r>
        <w:rPr>
          <w:rFonts w:eastAsia="Calibri"/>
        </w:rPr>
        <w:t>ti</w:t>
      </w:r>
      <w:r>
        <w:t>cado no mercado por mo</w:t>
      </w:r>
      <w:r>
        <w:rPr>
          <w:rFonts w:eastAsia="Calibri"/>
        </w:rPr>
        <w:t>ti</w:t>
      </w:r>
      <w:r>
        <w:t>vo superveniente, o órgão ou en</w:t>
      </w:r>
      <w:r>
        <w:rPr>
          <w:rFonts w:eastAsia="Calibri"/>
        </w:rPr>
        <w:t>ti</w:t>
      </w:r>
      <w:r>
        <w:t>dade gerenciadora convocará o fornecedor para negociar a redução do preço registrado.</w:t>
      </w:r>
    </w:p>
    <w:p w14:paraId="22112B04" w14:textId="77777777" w:rsidR="00E878FB" w:rsidRDefault="00C43B83">
      <w:pPr>
        <w:pStyle w:val="Nvel3"/>
        <w:numPr>
          <w:ilvl w:val="2"/>
          <w:numId w:val="10"/>
        </w:numPr>
        <w:ind w:left="0" w:firstLine="284"/>
        <w:rPr>
          <w:color w:val="auto"/>
        </w:rPr>
      </w:pPr>
      <w:r>
        <w:rPr>
          <w:color w:val="auto"/>
        </w:rPr>
        <w:t>Caso não aceite reduzir seu preço aos valores pra</w:t>
      </w:r>
      <w:r>
        <w:rPr>
          <w:rFonts w:eastAsia="Calibri"/>
          <w:color w:val="auto"/>
        </w:rPr>
        <w:t>ti</w:t>
      </w:r>
      <w:r>
        <w:rPr>
          <w:color w:val="auto"/>
        </w:rPr>
        <w:t>cados pelo mercado, o fornecedor será liberado do compromisso assumido quanto ao item registrado, sem aplicação de penalidades administrativas.</w:t>
      </w:r>
    </w:p>
    <w:p w14:paraId="7F7D1A21" w14:textId="77777777" w:rsidR="00E878FB" w:rsidRDefault="00C43B83">
      <w:pPr>
        <w:pStyle w:val="Nvel3"/>
        <w:numPr>
          <w:ilvl w:val="2"/>
          <w:numId w:val="10"/>
        </w:numPr>
        <w:ind w:left="0" w:firstLine="284"/>
        <w:rPr>
          <w:color w:val="auto"/>
        </w:rPr>
      </w:pPr>
      <w:r>
        <w:rPr>
          <w:color w:val="auto"/>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3F65A035" w14:textId="77777777" w:rsidR="00E878FB" w:rsidRDefault="00C43B83">
      <w:pPr>
        <w:pStyle w:val="Nvel3"/>
        <w:numPr>
          <w:ilvl w:val="2"/>
          <w:numId w:val="10"/>
        </w:numPr>
        <w:ind w:left="0" w:firstLine="284"/>
        <w:rPr>
          <w:color w:val="auto"/>
        </w:rPr>
      </w:pPr>
      <w:r>
        <w:rPr>
          <w:color w:val="auto"/>
        </w:rPr>
        <w:lastRenderedPageBreak/>
        <w:t>Se não obtiver êxito nas negociações, o órgão ou en</w:t>
      </w:r>
      <w:r>
        <w:rPr>
          <w:rFonts w:eastAsia="Calibri"/>
          <w:color w:val="auto"/>
        </w:rPr>
        <w:t>tid</w:t>
      </w:r>
      <w:r>
        <w:rPr>
          <w:color w:val="auto"/>
        </w:rPr>
        <w:t>ade gerenciadora procederá ao cancelamento da ata de registro de preços, adotando as medidas cabíveis para obtenção de contratação mais vantajosa.</w:t>
      </w:r>
      <w:bookmarkStart w:id="10" w:name="reducao_preco_mercado_negociacao_frustra"/>
      <w:bookmarkEnd w:id="10"/>
    </w:p>
    <w:p w14:paraId="3B667450" w14:textId="77777777" w:rsidR="00E878FB" w:rsidRDefault="00C43B83">
      <w:pPr>
        <w:pStyle w:val="Nvel3"/>
        <w:numPr>
          <w:ilvl w:val="2"/>
          <w:numId w:val="10"/>
        </w:numPr>
        <w:ind w:left="0" w:firstLine="284"/>
        <w:rPr>
          <w:color w:val="auto"/>
        </w:rPr>
      </w:pPr>
      <w:r>
        <w:rPr>
          <w:rFonts w:ascii="Calibri" w:hAnsi="Calibri" w:cs="Calibri"/>
          <w:color w:val="auto"/>
        </w:rPr>
        <w:t>Na hipótese de</w:t>
      </w:r>
      <w:r>
        <w:rPr>
          <w:color w:val="auto"/>
        </w:rPr>
        <w:t xml:space="preserve"> redução do preço registrado, o gerenciador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para que avaliem a conveniência e a oportunidade de diligenciarem negociação com vistas à alteração contratual, observado o disposto no art. 124 da Lei nº 14.133, de 2021.</w:t>
      </w:r>
    </w:p>
    <w:p w14:paraId="422FAB2F" w14:textId="77777777" w:rsidR="00E878FB" w:rsidRDefault="00C43B83">
      <w:pPr>
        <w:pStyle w:val="Nivel2"/>
        <w:numPr>
          <w:ilvl w:val="1"/>
          <w:numId w:val="10"/>
        </w:numPr>
        <w:autoSpaceDE w:val="0"/>
        <w:autoSpaceDN w:val="0"/>
        <w:adjustRightInd w:val="0"/>
        <w:ind w:left="0" w:firstLine="0"/>
      </w:pPr>
      <w: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1" w:name="hipotese_preco_mercado_maior"/>
      <w:bookmarkEnd w:id="11"/>
    </w:p>
    <w:p w14:paraId="0A23253B" w14:textId="77777777" w:rsidR="00E878FB" w:rsidRDefault="00C43B83">
      <w:pPr>
        <w:pStyle w:val="Nvel3"/>
        <w:numPr>
          <w:ilvl w:val="2"/>
          <w:numId w:val="10"/>
        </w:numPr>
        <w:ind w:left="0" w:firstLine="284"/>
        <w:rPr>
          <w:color w:val="auto"/>
        </w:rPr>
      </w:pPr>
      <w:r>
        <w:rPr>
          <w:color w:val="auto"/>
        </w:rPr>
        <w:t>Neste caso, o fornecedor encaminhará, juntamente com o pedido de alteração, a documentação comprobatória ou a planilha de custos que demonstre a inviabilidade do preço registrado em relação às condições inicialmente pactuadas.</w:t>
      </w:r>
      <w:bookmarkStart w:id="12" w:name="prova_preco_mercado_maior"/>
      <w:bookmarkEnd w:id="12"/>
    </w:p>
    <w:p w14:paraId="04675B44" w14:textId="77777777" w:rsidR="00E878FB" w:rsidRDefault="00C43B83">
      <w:pPr>
        <w:pStyle w:val="Nvel3"/>
        <w:numPr>
          <w:ilvl w:val="2"/>
          <w:numId w:val="10"/>
        </w:numPr>
        <w:ind w:left="0" w:firstLine="284"/>
        <w:rPr>
          <w:color w:val="auto"/>
        </w:rPr>
      </w:pPr>
      <w:r>
        <w:rPr>
          <w:color w:val="auto"/>
        </w:rPr>
        <w:t>Não hipótese de não comprovação da existência de fato superveniente que inviabilize o preço registrado, o pedido será indeferido pelo órgão ou en</w:t>
      </w:r>
      <w:r>
        <w:rPr>
          <w:rFonts w:eastAsia="Calibri"/>
          <w:color w:val="auto"/>
        </w:rPr>
        <w:t>ti</w:t>
      </w:r>
      <w:r>
        <w:rPr>
          <w:color w:val="auto"/>
        </w:rPr>
        <w:t xml:space="preserve">dade gerenciadora e o fornecedor deverá cumprir as obrigações estabelecidas na ata, sob pena de cancelamento do seu registro, nos termos do item </w:t>
      </w:r>
      <w:r>
        <w:rPr>
          <w:color w:val="auto"/>
        </w:rPr>
        <w:fldChar w:fldCharType="begin"/>
      </w:r>
      <w:r>
        <w:rPr>
          <w:color w:val="auto"/>
        </w:rPr>
        <w:instrText xml:space="preserve"> REF cancelamento_do_fornecedor \r \h  \* MERGEFORMAT </w:instrText>
      </w:r>
      <w:r>
        <w:rPr>
          <w:color w:val="auto"/>
        </w:rPr>
      </w:r>
      <w:r>
        <w:rPr>
          <w:color w:val="auto"/>
        </w:rPr>
        <w:fldChar w:fldCharType="separate"/>
      </w:r>
      <w:r>
        <w:rPr>
          <w:color w:val="auto"/>
        </w:rPr>
        <w:t>9.1</w:t>
      </w:r>
      <w:r>
        <w:rPr>
          <w:color w:val="auto"/>
        </w:rPr>
        <w:fldChar w:fldCharType="end"/>
      </w:r>
      <w:r>
        <w:rPr>
          <w:color w:val="auto"/>
        </w:rPr>
        <w:t>, sem prejuízo das sanções previstas na Lei nº 14.133, de 2021, e na legislação aplicável.</w:t>
      </w:r>
      <w:bookmarkStart w:id="13" w:name="nao_comprovacao_majoracao_mercado"/>
      <w:bookmarkEnd w:id="13"/>
    </w:p>
    <w:p w14:paraId="1E59D640" w14:textId="77777777" w:rsidR="00E878FB" w:rsidRDefault="00C43B83">
      <w:pPr>
        <w:pStyle w:val="Nvel3"/>
        <w:numPr>
          <w:ilvl w:val="2"/>
          <w:numId w:val="10"/>
        </w:numPr>
        <w:ind w:left="0" w:firstLine="284"/>
        <w:rPr>
          <w:color w:val="auto"/>
        </w:rPr>
      </w:pPr>
      <w:r>
        <w:rPr>
          <w:color w:val="auto"/>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1C6C06EC" w14:textId="77777777" w:rsidR="00E878FB" w:rsidRDefault="00C43B83">
      <w:pPr>
        <w:pStyle w:val="Nvel3"/>
        <w:numPr>
          <w:ilvl w:val="2"/>
          <w:numId w:val="10"/>
        </w:numPr>
        <w:ind w:left="0" w:firstLine="284"/>
        <w:rPr>
          <w:color w:val="auto"/>
        </w:rPr>
      </w:pPr>
      <w:r>
        <w:rPr>
          <w:color w:val="auto"/>
        </w:rPr>
        <w:t xml:space="preserve">Se não obtiver êxito nas negociações, o órgão ou entidade gerenciadora procederá ao cancelamento da ata de registro de preços, nos termos do item </w:t>
      </w:r>
      <w:r>
        <w:rPr>
          <w:color w:val="auto"/>
        </w:rPr>
        <w:fldChar w:fldCharType="begin"/>
      </w:r>
      <w:r>
        <w:rPr>
          <w:color w:val="auto"/>
        </w:rPr>
        <w:instrText xml:space="preserve"> REF cancelamento_da_ata \r \h  \* MERGEFORMAT </w:instrText>
      </w:r>
      <w:r>
        <w:rPr>
          <w:color w:val="auto"/>
        </w:rPr>
      </w:r>
      <w:r>
        <w:rPr>
          <w:color w:val="auto"/>
        </w:rPr>
        <w:fldChar w:fldCharType="separate"/>
      </w:r>
      <w:r>
        <w:rPr>
          <w:color w:val="auto"/>
        </w:rPr>
        <w:t>9.4</w:t>
      </w:r>
      <w:r>
        <w:rPr>
          <w:color w:val="auto"/>
        </w:rPr>
        <w:fldChar w:fldCharType="end"/>
      </w:r>
      <w:r>
        <w:rPr>
          <w:color w:val="auto"/>
        </w:rPr>
        <w:t>, e adotará as medidas cabíveis para a obtenção da contratação mais vantajosa.</w:t>
      </w:r>
      <w:bookmarkStart w:id="14" w:name="majora_preco_mercado_negociacao_frustra"/>
      <w:bookmarkEnd w:id="14"/>
    </w:p>
    <w:p w14:paraId="1DC77081" w14:textId="77777777" w:rsidR="00E878FB" w:rsidRDefault="00C43B83">
      <w:pPr>
        <w:pStyle w:val="Nvel3"/>
        <w:numPr>
          <w:ilvl w:val="2"/>
          <w:numId w:val="10"/>
        </w:numPr>
        <w:ind w:left="0" w:firstLine="284"/>
        <w:rPr>
          <w:color w:val="auto"/>
        </w:rPr>
      </w:pPr>
      <w:r>
        <w:rPr>
          <w:color w:val="auto"/>
        </w:rPr>
        <w:t xml:space="preserve">Na hipótese de comprovação da majoração do preço de mercado que inviabilize o preço registrado, conforme previsto no item </w:t>
      </w:r>
      <w:r>
        <w:rPr>
          <w:color w:val="auto"/>
        </w:rPr>
        <w:fldChar w:fldCharType="begin"/>
      </w:r>
      <w:r>
        <w:rPr>
          <w:color w:val="auto"/>
        </w:rPr>
        <w:instrText xml:space="preserve"> REF hipotese_preco_mercado_maior \r \h  \* MERGEFORMAT </w:instrText>
      </w:r>
      <w:r>
        <w:rPr>
          <w:color w:val="auto"/>
        </w:rPr>
      </w:r>
      <w:r>
        <w:rPr>
          <w:color w:val="auto"/>
        </w:rPr>
        <w:fldChar w:fldCharType="separate"/>
      </w:r>
      <w:r>
        <w:rPr>
          <w:color w:val="auto"/>
        </w:rPr>
        <w:t>7.2</w:t>
      </w:r>
      <w:r>
        <w:rPr>
          <w:color w:val="auto"/>
        </w:rPr>
        <w:fldChar w:fldCharType="end"/>
      </w:r>
      <w:r>
        <w:rPr>
          <w:color w:val="auto"/>
        </w:rPr>
        <w:t xml:space="preserve"> e no item </w:t>
      </w:r>
      <w:r>
        <w:rPr>
          <w:color w:val="auto"/>
        </w:rPr>
        <w:fldChar w:fldCharType="begin"/>
      </w:r>
      <w:r>
        <w:rPr>
          <w:color w:val="auto"/>
        </w:rPr>
        <w:instrText xml:space="preserve"> REF prova_preco_mercado_maior \r \h  \* MERGEFORMAT </w:instrText>
      </w:r>
      <w:r>
        <w:rPr>
          <w:color w:val="auto"/>
        </w:rPr>
      </w:r>
      <w:r>
        <w:rPr>
          <w:color w:val="auto"/>
        </w:rPr>
        <w:fldChar w:fldCharType="separate"/>
      </w:r>
      <w:r>
        <w:rPr>
          <w:color w:val="auto"/>
        </w:rPr>
        <w:t>7.2.1</w:t>
      </w:r>
      <w:r>
        <w:rPr>
          <w:color w:val="auto"/>
        </w:rPr>
        <w:fldChar w:fldCharType="end"/>
      </w:r>
      <w:r>
        <w:rPr>
          <w:color w:val="auto"/>
        </w:rPr>
        <w:t>, o órgão ou en</w:t>
      </w:r>
      <w:r>
        <w:rPr>
          <w:rFonts w:eastAsia="Calibri"/>
          <w:color w:val="auto"/>
        </w:rPr>
        <w:t>ti</w:t>
      </w:r>
      <w:r>
        <w:rPr>
          <w:color w:val="auto"/>
        </w:rPr>
        <w:t>dade gerenciadora atualizará o preço registrado, de acordo com a realidade dos valores praticados pelo mercado.</w:t>
      </w:r>
    </w:p>
    <w:p w14:paraId="10CEBD44" w14:textId="77777777" w:rsidR="00E878FB" w:rsidRDefault="00C43B83">
      <w:pPr>
        <w:pStyle w:val="Nvel3"/>
        <w:numPr>
          <w:ilvl w:val="2"/>
          <w:numId w:val="10"/>
        </w:numPr>
        <w:ind w:left="0" w:firstLine="284"/>
        <w:rPr>
          <w:color w:val="auto"/>
        </w:rPr>
      </w:pPr>
      <w:r>
        <w:rPr>
          <w:color w:val="auto"/>
        </w:rPr>
        <w:t xml:space="preserve"> O órgão ou en</w:t>
      </w:r>
      <w:r>
        <w:rPr>
          <w:rFonts w:eastAsia="Calibri"/>
          <w:color w:val="auto"/>
        </w:rPr>
        <w:t>ti</w:t>
      </w:r>
      <w:r>
        <w:rPr>
          <w:color w:val="auto"/>
        </w:rPr>
        <w:t>dade gerenciadora comunicará aos órgãos e às en</w:t>
      </w:r>
      <w:r>
        <w:rPr>
          <w:rFonts w:eastAsia="Calibri"/>
          <w:color w:val="auto"/>
        </w:rPr>
        <w:t>ti</w:t>
      </w:r>
      <w:r>
        <w:rPr>
          <w:color w:val="auto"/>
        </w:rPr>
        <w:t xml:space="preserve">dades que </w:t>
      </w:r>
      <w:r>
        <w:rPr>
          <w:rFonts w:eastAsia="Calibri"/>
          <w:color w:val="auto"/>
        </w:rPr>
        <w:t>ti</w:t>
      </w:r>
      <w:r>
        <w:rPr>
          <w:color w:val="auto"/>
        </w:rPr>
        <w:t>verem firmado contratos decorrentes da ata de registro de preços sobre a efe</w:t>
      </w:r>
      <w:r>
        <w:rPr>
          <w:rFonts w:eastAsia="Calibri"/>
          <w:color w:val="auto"/>
        </w:rPr>
        <w:t>ti</w:t>
      </w:r>
      <w:r>
        <w:rPr>
          <w:color w:val="auto"/>
        </w:rPr>
        <w:t>va alteração do preço registrado, para que avaliem a necessidade de alteração contratual, observado o disposto no art. 124 da Lei nº 14.133, de 2021.</w:t>
      </w:r>
    </w:p>
    <w:p w14:paraId="282CF080" w14:textId="77777777" w:rsidR="00E878FB" w:rsidRDefault="00E878FB">
      <w:pPr>
        <w:pStyle w:val="Nvel3"/>
        <w:numPr>
          <w:ilvl w:val="0"/>
          <w:numId w:val="0"/>
        </w:numPr>
        <w:ind w:left="284"/>
        <w:rPr>
          <w:color w:val="auto"/>
        </w:rPr>
      </w:pPr>
    </w:p>
    <w:p w14:paraId="5A945425" w14:textId="77777777" w:rsidR="00E878FB" w:rsidRDefault="00C43B83">
      <w:pPr>
        <w:pStyle w:val="Nivel01"/>
        <w:numPr>
          <w:ilvl w:val="0"/>
          <w:numId w:val="10"/>
        </w:numPr>
        <w:spacing w:before="120" w:after="120" w:line="276" w:lineRule="auto"/>
        <w:ind w:left="0" w:firstLine="0"/>
      </w:pPr>
      <w:r>
        <w:t>REMANEJAMENTO DAS QUANTIDADES REGISTRADAS NA ATA DE REGISTRO DE PREÇOS</w:t>
      </w:r>
    </w:p>
    <w:p w14:paraId="54EB2E92" w14:textId="77777777" w:rsidR="00E878FB" w:rsidRDefault="00C43B83">
      <w:pPr>
        <w:pStyle w:val="Nivel2"/>
        <w:numPr>
          <w:ilvl w:val="1"/>
          <w:numId w:val="10"/>
        </w:numPr>
        <w:autoSpaceDE w:val="0"/>
        <w:autoSpaceDN w:val="0"/>
        <w:adjustRightInd w:val="0"/>
        <w:ind w:left="0" w:firstLine="0"/>
      </w:pPr>
      <w:r>
        <w:t xml:space="preserve"> As quan</w:t>
      </w:r>
      <w:r>
        <w:rPr>
          <w:rFonts w:eastAsia="Arial"/>
        </w:rPr>
        <w:t>ti</w:t>
      </w:r>
      <w:r>
        <w:t>dades previstas para os itens com preços registrados nas atas de registro de preços poderão ser remanejadas pelo órgão ou en</w:t>
      </w:r>
      <w:r>
        <w:rPr>
          <w:rFonts w:eastAsia="Arial"/>
        </w:rPr>
        <w:t>ti</w:t>
      </w:r>
      <w:r>
        <w:t>dade gerenciadora entre os órgãos ou as en</w:t>
      </w:r>
      <w:r>
        <w:rPr>
          <w:rFonts w:eastAsia="Arial"/>
        </w:rPr>
        <w:t>ti</w:t>
      </w:r>
      <w:r>
        <w:t>dades par</w:t>
      </w:r>
      <w:r>
        <w:rPr>
          <w:rFonts w:eastAsia="Arial"/>
        </w:rPr>
        <w:t>ti</w:t>
      </w:r>
      <w:r>
        <w:t>cipantes e não par</w:t>
      </w:r>
      <w:r>
        <w:rPr>
          <w:rFonts w:eastAsia="Arial"/>
        </w:rPr>
        <w:t>ti</w:t>
      </w:r>
      <w:r>
        <w:t>cipantes do registro de preços.</w:t>
      </w:r>
    </w:p>
    <w:p w14:paraId="30718193" w14:textId="77777777" w:rsidR="00E878FB" w:rsidRDefault="00C43B83">
      <w:pPr>
        <w:pStyle w:val="Nivel2"/>
        <w:numPr>
          <w:ilvl w:val="1"/>
          <w:numId w:val="10"/>
        </w:numPr>
        <w:autoSpaceDE w:val="0"/>
        <w:autoSpaceDN w:val="0"/>
        <w:adjustRightInd w:val="0"/>
        <w:ind w:left="0" w:firstLine="0"/>
      </w:pPr>
      <w:r>
        <w:t xml:space="preserve"> O remanejamento somente poderá ser feito:</w:t>
      </w:r>
    </w:p>
    <w:p w14:paraId="73EB2372" w14:textId="77777777" w:rsidR="00E878FB" w:rsidRDefault="00C43B83">
      <w:pPr>
        <w:pStyle w:val="Nvel3"/>
        <w:numPr>
          <w:ilvl w:val="2"/>
          <w:numId w:val="10"/>
        </w:numPr>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w:t>
      </w:r>
      <w:r>
        <w:rPr>
          <w:rFonts w:eastAsia="Arial"/>
          <w:color w:val="auto"/>
        </w:rPr>
        <w:t>ti</w:t>
      </w:r>
      <w:r>
        <w:rPr>
          <w:color w:val="auto"/>
        </w:rPr>
        <w:t>dade par</w:t>
      </w:r>
      <w:r>
        <w:rPr>
          <w:rFonts w:eastAsia="Arial"/>
          <w:color w:val="auto"/>
        </w:rPr>
        <w:t>ti</w:t>
      </w:r>
      <w:r>
        <w:rPr>
          <w:color w:val="auto"/>
        </w:rPr>
        <w:t>cipante; ou</w:t>
      </w:r>
    </w:p>
    <w:p w14:paraId="3E26B992" w14:textId="77777777" w:rsidR="00E878FB" w:rsidRDefault="00C43B83">
      <w:pPr>
        <w:pStyle w:val="Nvel3"/>
        <w:numPr>
          <w:ilvl w:val="2"/>
          <w:numId w:val="10"/>
        </w:numPr>
        <w:ind w:left="284" w:firstLine="0"/>
        <w:rPr>
          <w:color w:val="auto"/>
        </w:rPr>
      </w:pPr>
      <w:r>
        <w:rPr>
          <w:color w:val="auto"/>
        </w:rPr>
        <w:t>De órgão ou en</w:t>
      </w:r>
      <w:r>
        <w:rPr>
          <w:rFonts w:eastAsia="Arial"/>
          <w:color w:val="auto"/>
        </w:rPr>
        <w:t>ti</w:t>
      </w:r>
      <w:r>
        <w:rPr>
          <w:color w:val="auto"/>
        </w:rPr>
        <w:t>dade par</w:t>
      </w:r>
      <w:r>
        <w:rPr>
          <w:rFonts w:eastAsia="Arial"/>
          <w:color w:val="auto"/>
        </w:rPr>
        <w:t>ti</w:t>
      </w:r>
      <w:r>
        <w:rPr>
          <w:color w:val="auto"/>
        </w:rPr>
        <w:t>cipante para órgão ou entidade não participante.</w:t>
      </w:r>
    </w:p>
    <w:p w14:paraId="45AC0D83" w14:textId="77777777" w:rsidR="00E878FB" w:rsidRDefault="00C43B83">
      <w:pPr>
        <w:pStyle w:val="Nivel2"/>
        <w:numPr>
          <w:ilvl w:val="1"/>
          <w:numId w:val="10"/>
        </w:numPr>
        <w:autoSpaceDE w:val="0"/>
        <w:autoSpaceDN w:val="0"/>
        <w:adjustRightInd w:val="0"/>
        <w:ind w:left="0" w:firstLine="0"/>
      </w:pPr>
      <w:r>
        <w:t>O órgão ou en</w:t>
      </w:r>
      <w:r>
        <w:rPr>
          <w:rFonts w:eastAsia="Arial"/>
        </w:rPr>
        <w:t>ti</w:t>
      </w:r>
      <w:r>
        <w:t>dade gerenciadora que tiver es</w:t>
      </w:r>
      <w:r>
        <w:rPr>
          <w:rFonts w:eastAsia="Arial"/>
        </w:rPr>
        <w:t>ti</w:t>
      </w:r>
      <w:r>
        <w:t>mado as quan</w:t>
      </w:r>
      <w:r>
        <w:rPr>
          <w:rFonts w:eastAsia="Arial"/>
        </w:rPr>
        <w:t>ti</w:t>
      </w:r>
      <w:r>
        <w:t>dades que pretende contratar será considerado participante para efeito do remanejamento.</w:t>
      </w:r>
      <w:bookmarkStart w:id="15" w:name="gerenciador_estimador_é_partic_em_remane"/>
      <w:bookmarkEnd w:id="15"/>
    </w:p>
    <w:p w14:paraId="051E0C71" w14:textId="77777777" w:rsidR="00E878FB" w:rsidRDefault="00C43B83">
      <w:pPr>
        <w:pStyle w:val="Nivel2"/>
        <w:numPr>
          <w:ilvl w:val="1"/>
          <w:numId w:val="10"/>
        </w:numPr>
        <w:autoSpaceDE w:val="0"/>
        <w:autoSpaceDN w:val="0"/>
        <w:adjustRightInd w:val="0"/>
        <w:ind w:left="0" w:firstLine="0"/>
      </w:pPr>
      <w:r>
        <w:t>Na hipótese de remanejamento de órgão ou entidade par</w:t>
      </w:r>
      <w:r>
        <w:rPr>
          <w:rFonts w:eastAsia="Arial"/>
        </w:rPr>
        <w:t>ti</w:t>
      </w:r>
      <w:r>
        <w:t>cipante para órgão ou entidade não participante, serão observados os limites previstos no art. 32 do Decreto nº 11.462, de 2023.</w:t>
      </w:r>
    </w:p>
    <w:p w14:paraId="25AC9526" w14:textId="77777777" w:rsidR="00E878FB" w:rsidRDefault="00C43B83">
      <w:pPr>
        <w:pStyle w:val="Nivel2"/>
        <w:numPr>
          <w:ilvl w:val="1"/>
          <w:numId w:val="10"/>
        </w:numPr>
        <w:autoSpaceDE w:val="0"/>
        <w:autoSpaceDN w:val="0"/>
        <w:adjustRightInd w:val="0"/>
        <w:ind w:left="0" w:firstLine="0"/>
      </w:pPr>
      <w:r>
        <w:t>Competirá ao órgão ou à en</w:t>
      </w:r>
      <w:r>
        <w:rPr>
          <w:rFonts w:eastAsia="Arial"/>
        </w:rPr>
        <w:t>ti</w:t>
      </w:r>
      <w:r>
        <w:t>dade gerenciadora autorizar o remanejamento solicitado, com a redução do quan</w:t>
      </w:r>
      <w:r>
        <w:rPr>
          <w:rFonts w:eastAsia="Arial"/>
        </w:rPr>
        <w:t>ti</w:t>
      </w:r>
      <w:r>
        <w:t>ta</w:t>
      </w:r>
      <w:r>
        <w:rPr>
          <w:rFonts w:eastAsia="Arial"/>
        </w:rPr>
        <w:t>ti</w:t>
      </w:r>
      <w:r>
        <w:t>vo inicialmente informado pelo órgão ou pela en</w:t>
      </w:r>
      <w:r>
        <w:rPr>
          <w:rFonts w:eastAsia="Arial"/>
        </w:rPr>
        <w:t>ti</w:t>
      </w:r>
      <w:r>
        <w:t>dade par</w:t>
      </w:r>
      <w:r>
        <w:rPr>
          <w:rFonts w:eastAsia="Arial"/>
        </w:rPr>
        <w:t>ti</w:t>
      </w:r>
      <w:r>
        <w:t>cipante, desde que haja prévia anuência do órgão ou da en</w:t>
      </w:r>
      <w:r>
        <w:rPr>
          <w:rFonts w:eastAsia="Arial"/>
        </w:rPr>
        <w:t>ti</w:t>
      </w:r>
      <w:r>
        <w:t>dade que sofrer redução dos quantitativos informados.</w:t>
      </w:r>
    </w:p>
    <w:p w14:paraId="15A629CE" w14:textId="77777777" w:rsidR="00E878FB" w:rsidRDefault="00C43B83">
      <w:pPr>
        <w:pStyle w:val="Nivel2"/>
        <w:numPr>
          <w:ilvl w:val="1"/>
          <w:numId w:val="10"/>
        </w:numPr>
        <w:autoSpaceDE w:val="0"/>
        <w:autoSpaceDN w:val="0"/>
        <w:adjustRightInd w:val="0"/>
        <w:ind w:left="0" w:firstLine="0"/>
      </w:pPr>
      <w:r>
        <w:t>Caso o remanejamento seja feito entre órgãos ou en</w:t>
      </w:r>
      <w:r>
        <w:rPr>
          <w:rFonts w:eastAsia="Arial"/>
        </w:rPr>
        <w:t>ti</w:t>
      </w:r>
      <w:r>
        <w:t>dades dos Estados, do Distrito Federal ou de Municípios dis</w:t>
      </w:r>
      <w:r>
        <w:rPr>
          <w:rFonts w:eastAsia="Arial"/>
        </w:rPr>
        <w:t>ti</w:t>
      </w:r>
      <w:r>
        <w:t>ntos, caberá ao fornecedor beneficiário da ata de registro de preços, observadas as condições nela estabelecidas, optar pela aceitação ou não do fornecimento decorrente do remanejamento dos itens.</w:t>
      </w:r>
    </w:p>
    <w:p w14:paraId="67794FD7" w14:textId="77777777" w:rsidR="00E878FB" w:rsidRDefault="00C43B83">
      <w:pPr>
        <w:pStyle w:val="Nivel2"/>
        <w:numPr>
          <w:ilvl w:val="1"/>
          <w:numId w:val="10"/>
        </w:numPr>
        <w:autoSpaceDE w:val="0"/>
        <w:autoSpaceDN w:val="0"/>
        <w:adjustRightInd w:val="0"/>
        <w:ind w:left="0" w:firstLine="0"/>
      </w:pPr>
      <w:r>
        <w:lastRenderedPageBreak/>
        <w:t>Na hipótese da compra centralizada, não havendo indicação pelo órgão ou pela en</w:t>
      </w:r>
      <w:r>
        <w:rPr>
          <w:rFonts w:eastAsia="Arial"/>
        </w:rPr>
        <w:t>ti</w:t>
      </w:r>
      <w:r>
        <w:t>dade gerenciadora, dos quan</w:t>
      </w:r>
      <w:r>
        <w:rPr>
          <w:rFonts w:eastAsia="Arial"/>
        </w:rPr>
        <w:t>ti</w:t>
      </w:r>
      <w:r>
        <w:t>ta</w:t>
      </w:r>
      <w:r>
        <w:rPr>
          <w:rFonts w:eastAsia="Arial"/>
        </w:rPr>
        <w:t>ti</w:t>
      </w:r>
      <w:r>
        <w:t>vos dos par</w:t>
      </w:r>
      <w:r>
        <w:rPr>
          <w:rFonts w:eastAsia="Arial"/>
        </w:rPr>
        <w:t>ti</w:t>
      </w:r>
      <w:r>
        <w:t xml:space="preserve">cipantes da compra centralizada, nos termos do item </w:t>
      </w:r>
      <w:r>
        <w:fldChar w:fldCharType="begin"/>
      </w:r>
      <w:r>
        <w:instrText xml:space="preserve"> REF gerenciador_estimador_é_partic_em_remane \r \h  \* MERGEFORMAT </w:instrText>
      </w:r>
      <w:r>
        <w:fldChar w:fldCharType="separate"/>
      </w:r>
      <w:r>
        <w:t>8.3</w:t>
      </w:r>
      <w:r>
        <w:fldChar w:fldCharType="end"/>
      </w:r>
      <w:r>
        <w:t>, a distribuição das quantidades para a execução descentralizada será por meio do remanejamento.</w:t>
      </w:r>
    </w:p>
    <w:p w14:paraId="569D2015" w14:textId="77777777" w:rsidR="00E878FB" w:rsidRDefault="00E878FB">
      <w:pPr>
        <w:pStyle w:val="Nivel2"/>
        <w:numPr>
          <w:ilvl w:val="0"/>
          <w:numId w:val="0"/>
        </w:numPr>
        <w:autoSpaceDE w:val="0"/>
        <w:autoSpaceDN w:val="0"/>
        <w:adjustRightInd w:val="0"/>
      </w:pPr>
    </w:p>
    <w:p w14:paraId="415FCDF9" w14:textId="77777777" w:rsidR="00E878FB" w:rsidRDefault="00C43B83">
      <w:pPr>
        <w:pStyle w:val="Nivel01"/>
        <w:numPr>
          <w:ilvl w:val="0"/>
          <w:numId w:val="10"/>
        </w:numPr>
        <w:spacing w:before="120" w:after="120" w:line="276" w:lineRule="auto"/>
        <w:ind w:left="0" w:firstLine="0"/>
        <w:rPr>
          <w:iCs/>
        </w:rPr>
      </w:pPr>
      <w:r>
        <w:t>CANCELAMENTO DO REGISTRO DO LICITANTE VENCEDOR E DOS PREÇOS REGISTRADOS</w:t>
      </w:r>
      <w:bookmarkStart w:id="16" w:name="cancelamento"/>
      <w:bookmarkEnd w:id="16"/>
    </w:p>
    <w:p w14:paraId="226B20A4" w14:textId="77777777" w:rsidR="00E878FB" w:rsidRDefault="00C43B83">
      <w:pPr>
        <w:pStyle w:val="Nivel2"/>
        <w:numPr>
          <w:ilvl w:val="1"/>
          <w:numId w:val="10"/>
        </w:numPr>
        <w:autoSpaceDE w:val="0"/>
        <w:autoSpaceDN w:val="0"/>
        <w:adjustRightInd w:val="0"/>
        <w:ind w:left="0" w:firstLine="0"/>
      </w:pPr>
      <w:r>
        <w:t>O registro do fornecedor será cancelado pelo gerenciador, quando o fornecedor:</w:t>
      </w:r>
      <w:bookmarkStart w:id="17" w:name="cancelamento_do_fornecedor"/>
      <w:bookmarkEnd w:id="17"/>
    </w:p>
    <w:p w14:paraId="02EC1419" w14:textId="77777777" w:rsidR="00E878FB" w:rsidRDefault="00C43B83">
      <w:pPr>
        <w:pStyle w:val="Nvel3"/>
        <w:numPr>
          <w:ilvl w:val="2"/>
          <w:numId w:val="10"/>
        </w:numPr>
        <w:ind w:left="0" w:firstLine="284"/>
        <w:rPr>
          <w:color w:val="auto"/>
        </w:rPr>
      </w:pPr>
      <w:r>
        <w:rPr>
          <w:color w:val="auto"/>
        </w:rPr>
        <w:t>Descumprir as condições da ata de registro de preços, sem motivo justificado;</w:t>
      </w:r>
    </w:p>
    <w:p w14:paraId="73A4F468" w14:textId="77777777" w:rsidR="00E878FB" w:rsidRDefault="00C43B83">
      <w:pPr>
        <w:pStyle w:val="Nvel3"/>
        <w:numPr>
          <w:ilvl w:val="2"/>
          <w:numId w:val="10"/>
        </w:numPr>
        <w:ind w:left="0" w:firstLine="284"/>
        <w:rPr>
          <w:color w:val="auto"/>
        </w:rPr>
      </w:pPr>
      <w:r>
        <w:rPr>
          <w:color w:val="auto"/>
        </w:rPr>
        <w:t>Não re</w:t>
      </w:r>
      <w:r>
        <w:rPr>
          <w:rFonts w:eastAsia="Arial"/>
          <w:color w:val="auto"/>
        </w:rPr>
        <w:t>ti</w:t>
      </w:r>
      <w:r>
        <w:rPr>
          <w:color w:val="auto"/>
        </w:rPr>
        <w:t>rar a nota de empenho, ou instrumento equivalente, no prazo estabelecido pela Administração sem justificativa razoável;</w:t>
      </w:r>
    </w:p>
    <w:p w14:paraId="6381614F" w14:textId="77777777" w:rsidR="00E878FB" w:rsidRDefault="00C43B83">
      <w:pPr>
        <w:pStyle w:val="Nvel3"/>
        <w:numPr>
          <w:ilvl w:val="2"/>
          <w:numId w:val="10"/>
        </w:numPr>
        <w:ind w:left="0" w:firstLine="284"/>
        <w:rPr>
          <w:color w:val="auto"/>
        </w:rPr>
      </w:pPr>
      <w:r>
        <w:rPr>
          <w:color w:val="auto"/>
        </w:rPr>
        <w:t>Não aceitar manter seu preço registrado, na hipótese prevista no artigo 27, § 2º, do Decreto nº 11.462, de 2023; ou</w:t>
      </w:r>
    </w:p>
    <w:p w14:paraId="13F9A2EB" w14:textId="77777777" w:rsidR="00E878FB" w:rsidRDefault="00C43B83">
      <w:pPr>
        <w:pStyle w:val="Nvel3"/>
        <w:numPr>
          <w:ilvl w:val="2"/>
          <w:numId w:val="10"/>
        </w:numPr>
        <w:ind w:left="0" w:firstLine="284"/>
        <w:rPr>
          <w:color w:val="auto"/>
        </w:rPr>
      </w:pPr>
      <w:r>
        <w:rPr>
          <w:color w:val="auto"/>
        </w:rPr>
        <w:t xml:space="preserve"> Sofrer sanção prevista nos incisos III ou IV do caput do art. 156 da Lei nº 14.133, de 2021.</w:t>
      </w:r>
    </w:p>
    <w:p w14:paraId="318DE302" w14:textId="77777777" w:rsidR="00E878FB" w:rsidRDefault="00C43B83">
      <w:pPr>
        <w:pStyle w:val="Nvel4"/>
        <w:numPr>
          <w:ilvl w:val="3"/>
          <w:numId w:val="10"/>
        </w:numPr>
        <w:ind w:left="0" w:firstLine="567"/>
        <w:rPr>
          <w:color w:val="auto"/>
        </w:rPr>
      </w:pPr>
      <w:r>
        <w:rPr>
          <w:color w:val="auto"/>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F2DBBED" w14:textId="77777777" w:rsidR="00E878FB" w:rsidRDefault="00C43B83">
      <w:pPr>
        <w:pStyle w:val="Nivel2"/>
        <w:numPr>
          <w:ilvl w:val="1"/>
          <w:numId w:val="10"/>
        </w:numPr>
        <w:autoSpaceDE w:val="0"/>
        <w:autoSpaceDN w:val="0"/>
        <w:adjustRightInd w:val="0"/>
        <w:ind w:left="0" w:firstLine="0"/>
      </w:pPr>
      <w:r>
        <w:t xml:space="preserve"> O cancelamento de registros nas hipóteses previstas no item </w:t>
      </w:r>
      <w:r>
        <w:fldChar w:fldCharType="begin"/>
      </w:r>
      <w:r>
        <w:instrText xml:space="preserve"> REF cancelamento_do_fornecedor \r \h  \* MERGEFORMAT </w:instrText>
      </w:r>
      <w:r>
        <w:fldChar w:fldCharType="separate"/>
      </w:r>
      <w:r>
        <w:t>9.1</w:t>
      </w:r>
      <w:r>
        <w:fldChar w:fldCharType="end"/>
      </w:r>
      <w:r>
        <w:t xml:space="preserve"> será formalizado por despacho do órgão ou da entidade gerenciadora, garantidos os princípios do contraditório e da ampla defesa.</w:t>
      </w:r>
    </w:p>
    <w:p w14:paraId="4375B71F" w14:textId="77777777" w:rsidR="00E878FB" w:rsidRDefault="00C43B83">
      <w:pPr>
        <w:pStyle w:val="Nivel2"/>
        <w:numPr>
          <w:ilvl w:val="1"/>
          <w:numId w:val="10"/>
        </w:numPr>
        <w:autoSpaceDE w:val="0"/>
        <w:autoSpaceDN w:val="0"/>
        <w:adjustRightInd w:val="0"/>
        <w:ind w:left="0" w:firstLine="0"/>
      </w:pPr>
      <w:r>
        <w:t>Na hipótese de cancelamento do registro do fornecedor, o órgão ou a entidade gerenciadora poderá convocar os licitantes que compõem o cadastro de reserva, observada a ordem de classificação.</w:t>
      </w:r>
    </w:p>
    <w:p w14:paraId="03293F72" w14:textId="77777777" w:rsidR="00E878FB" w:rsidRDefault="00C43B83">
      <w:pPr>
        <w:pStyle w:val="Nivel2"/>
        <w:numPr>
          <w:ilvl w:val="1"/>
          <w:numId w:val="10"/>
        </w:numPr>
        <w:autoSpaceDE w:val="0"/>
        <w:autoSpaceDN w:val="0"/>
        <w:adjustRightInd w:val="0"/>
        <w:ind w:left="0" w:firstLine="0"/>
      </w:pPr>
      <w:r>
        <w:t>O cancelamento dos preços registrados poderá ser realizado pelo gerenciador, em determinada ata de registro de preços, total ou parcialmente, nas seguintes hipóteses, desde que devidamente comprovadas e justificadas:</w:t>
      </w:r>
      <w:bookmarkStart w:id="18" w:name="cancelamento_da_ata"/>
      <w:bookmarkEnd w:id="18"/>
      <w:r>
        <w:t xml:space="preserve"> </w:t>
      </w:r>
    </w:p>
    <w:p w14:paraId="78685EFF" w14:textId="77777777" w:rsidR="00E878FB" w:rsidRDefault="00C43B83">
      <w:pPr>
        <w:pStyle w:val="Nvel3"/>
        <w:numPr>
          <w:ilvl w:val="2"/>
          <w:numId w:val="10"/>
        </w:numPr>
        <w:ind w:left="0" w:firstLine="284"/>
        <w:rPr>
          <w:color w:val="auto"/>
        </w:rPr>
      </w:pPr>
      <w:r>
        <w:rPr>
          <w:color w:val="auto"/>
        </w:rPr>
        <w:t>Por razão de interesse público;</w:t>
      </w:r>
    </w:p>
    <w:p w14:paraId="1907AB8B" w14:textId="77777777" w:rsidR="00E878FB" w:rsidRDefault="00C43B83">
      <w:pPr>
        <w:pStyle w:val="Nvel3"/>
        <w:numPr>
          <w:ilvl w:val="2"/>
          <w:numId w:val="10"/>
        </w:numPr>
        <w:ind w:left="0" w:firstLine="284"/>
        <w:rPr>
          <w:color w:val="auto"/>
        </w:rPr>
      </w:pPr>
      <w:r>
        <w:rPr>
          <w:color w:val="auto"/>
        </w:rPr>
        <w:t>A pedido do fornecedor, decorrente de caso fortuito ou força maior; ou</w:t>
      </w:r>
    </w:p>
    <w:p w14:paraId="2302108C" w14:textId="77777777" w:rsidR="00E878FB" w:rsidRDefault="00C43B83">
      <w:pPr>
        <w:pStyle w:val="Nvel3"/>
        <w:numPr>
          <w:ilvl w:val="2"/>
          <w:numId w:val="10"/>
        </w:numPr>
        <w:ind w:left="0" w:firstLine="284"/>
        <w:rPr>
          <w:color w:val="auto"/>
        </w:rPr>
      </w:pPr>
      <w:r>
        <w:rPr>
          <w:color w:val="auto"/>
        </w:rPr>
        <w:t xml:space="preserve">Se não houver êxito nas negociações, nas hipóteses em que o preço de mercado tornar-se superior ou inferior ao preço registrado, nos termos do artigos 26, § 3º e  27, § 4º, ambos do Decreto nº 11.462, de 2023. </w:t>
      </w:r>
    </w:p>
    <w:p w14:paraId="2818157A" w14:textId="77777777" w:rsidR="00E878FB" w:rsidRDefault="00E878FB">
      <w:pPr>
        <w:pStyle w:val="Nvel3"/>
        <w:numPr>
          <w:ilvl w:val="0"/>
          <w:numId w:val="0"/>
        </w:numPr>
        <w:ind w:left="284"/>
        <w:rPr>
          <w:color w:val="auto"/>
        </w:rPr>
      </w:pPr>
    </w:p>
    <w:p w14:paraId="4FECE790" w14:textId="77777777" w:rsidR="00E878FB" w:rsidRDefault="00C43B83">
      <w:pPr>
        <w:pStyle w:val="Nivel01"/>
        <w:numPr>
          <w:ilvl w:val="0"/>
          <w:numId w:val="10"/>
        </w:numPr>
        <w:spacing w:before="120" w:after="120" w:line="276" w:lineRule="auto"/>
        <w:ind w:left="0" w:firstLine="0"/>
      </w:pPr>
      <w:r>
        <w:t>DAS PENALIDADES</w:t>
      </w:r>
    </w:p>
    <w:p w14:paraId="0EDEBA96" w14:textId="77777777" w:rsidR="00E878FB" w:rsidRDefault="00C43B83">
      <w:pPr>
        <w:pStyle w:val="Nivel2"/>
        <w:numPr>
          <w:ilvl w:val="1"/>
          <w:numId w:val="10"/>
        </w:numPr>
        <w:autoSpaceDE w:val="0"/>
        <w:autoSpaceDN w:val="0"/>
        <w:adjustRightInd w:val="0"/>
        <w:ind w:left="0" w:firstLine="0"/>
        <w:rPr>
          <w:color w:val="auto"/>
        </w:rPr>
      </w:pPr>
      <w:r>
        <w:t xml:space="preserve">O descumprimento da Ata de Registro de Preços ensejará aplicação das penalidades estabelecidas </w:t>
      </w:r>
      <w:r>
        <w:rPr>
          <w:color w:val="auto"/>
        </w:rPr>
        <w:t>no edital.</w:t>
      </w:r>
    </w:p>
    <w:p w14:paraId="1D754896" w14:textId="77777777" w:rsidR="00E878FB" w:rsidRDefault="00C43B83">
      <w:pPr>
        <w:pStyle w:val="Nvel3"/>
        <w:numPr>
          <w:ilvl w:val="2"/>
          <w:numId w:val="10"/>
        </w:numPr>
        <w:ind w:left="0" w:firstLine="284"/>
        <w:rPr>
          <w:color w:val="auto"/>
        </w:rPr>
      </w:pPr>
      <w:r>
        <w:rPr>
          <w:color w:val="auto"/>
        </w:rPr>
        <w:t xml:space="preserve">As sanções também se aplicam aos integrantes do cadastro de reserva no registro de preços que, convocados, não honrarem o compromisso assumido injustificadamente após terem assinado a ata. </w:t>
      </w:r>
    </w:p>
    <w:p w14:paraId="6920E0A5" w14:textId="77777777" w:rsidR="00E878FB" w:rsidRDefault="00C43B83">
      <w:pPr>
        <w:pStyle w:val="Nivel2"/>
        <w:numPr>
          <w:ilvl w:val="1"/>
          <w:numId w:val="10"/>
        </w:numPr>
        <w:autoSpaceDE w:val="0"/>
        <w:autoSpaceDN w:val="0"/>
        <w:adjustRightInd w:val="0"/>
        <w:ind w:left="0" w:firstLine="0"/>
      </w:pPr>
      <w: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3D4D3E8E" w14:textId="77777777" w:rsidR="00E878FB" w:rsidRDefault="00C43B83">
      <w:pPr>
        <w:pStyle w:val="Nivel2"/>
        <w:numPr>
          <w:ilvl w:val="1"/>
          <w:numId w:val="10"/>
        </w:numPr>
        <w:autoSpaceDE w:val="0"/>
        <w:autoSpaceDN w:val="0"/>
        <w:adjustRightInd w:val="0"/>
        <w:ind w:left="0" w:firstLine="0"/>
      </w:pPr>
      <w:r>
        <w:t>O órgão ou entidade participante deverá comunicar ao órgão gerenciador qualquer das ocorrências previstas no item 9.1, dada a necessidade de instauração de procedimento para cancelamento do registro do fornecedor.</w:t>
      </w:r>
    </w:p>
    <w:p w14:paraId="1E56E0D2" w14:textId="77777777" w:rsidR="00E878FB" w:rsidRDefault="00E878FB">
      <w:pPr>
        <w:pStyle w:val="Nivel2"/>
        <w:numPr>
          <w:ilvl w:val="0"/>
          <w:numId w:val="0"/>
        </w:numPr>
        <w:autoSpaceDE w:val="0"/>
        <w:autoSpaceDN w:val="0"/>
        <w:adjustRightInd w:val="0"/>
      </w:pPr>
    </w:p>
    <w:p w14:paraId="1A697799" w14:textId="77777777" w:rsidR="00E878FB" w:rsidRDefault="00C43B83">
      <w:pPr>
        <w:pStyle w:val="Nivel01"/>
        <w:numPr>
          <w:ilvl w:val="0"/>
          <w:numId w:val="10"/>
        </w:numPr>
        <w:spacing w:before="120" w:after="120" w:line="276" w:lineRule="auto"/>
        <w:ind w:left="0" w:firstLine="0"/>
      </w:pPr>
      <w:r>
        <w:lastRenderedPageBreak/>
        <w:t>CONDIÇÕES GERAIS</w:t>
      </w:r>
    </w:p>
    <w:p w14:paraId="680747B3" w14:textId="77777777" w:rsidR="00E878FB" w:rsidRDefault="00C43B83">
      <w:pPr>
        <w:pStyle w:val="Nivel2"/>
        <w:numPr>
          <w:ilvl w:val="1"/>
          <w:numId w:val="10"/>
        </w:numPr>
        <w:autoSpaceDE w:val="0"/>
        <w:autoSpaceDN w:val="0"/>
        <w:adjustRightInd w:val="0"/>
        <w:ind w:left="0" w:firstLine="0"/>
        <w:rPr>
          <w:color w:val="auto"/>
        </w:rPr>
      </w:pPr>
      <w:r>
        <w:t xml:space="preserve">As condições gerais de execução do objeto, tais como os prazos para entrega e recebimento, as obrigações da Administração e do fornecedor registrado, penalidades e demais condições do ajuste, encontram-se definidos no Termo de </w:t>
      </w:r>
      <w:r>
        <w:rPr>
          <w:color w:val="auto"/>
        </w:rPr>
        <w:t>Referência, ANEXO AO EDITAL.</w:t>
      </w:r>
    </w:p>
    <w:p w14:paraId="4B47D857" w14:textId="77777777" w:rsidR="00E878FB" w:rsidRDefault="00C43B83">
      <w:pPr>
        <w:pStyle w:val="Nvel2-Red"/>
        <w:numPr>
          <w:ilvl w:val="1"/>
          <w:numId w:val="10"/>
        </w:numPr>
        <w:autoSpaceDE w:val="0"/>
        <w:autoSpaceDN w:val="0"/>
        <w:adjustRightInd w:val="0"/>
        <w:ind w:left="0" w:firstLine="0"/>
        <w:rPr>
          <w:i w:val="0"/>
          <w:color w:val="auto"/>
        </w:rPr>
      </w:pPr>
      <w:r>
        <w:rPr>
          <w:i w:val="0"/>
          <w:color w:val="auto"/>
        </w:rPr>
        <w:t>No caso de adjudicação por preço global de grupo de itens, só será admitida a contratação de parte de itens do grupo se houver prévia pesquisa de mercado e demonstração de sua vantagem para o órgão ou a entidade.</w:t>
      </w:r>
    </w:p>
    <w:p w14:paraId="15F54044" w14:textId="77777777" w:rsidR="00E878FB" w:rsidRDefault="00C43B83">
      <w:pPr>
        <w:widowControl w:val="0"/>
        <w:autoSpaceDE w:val="0"/>
        <w:autoSpaceDN w:val="0"/>
        <w:adjustRightInd w:val="0"/>
        <w:spacing w:before="120" w:after="120" w:line="276" w:lineRule="auto"/>
        <w:jc w:val="both"/>
        <w:rPr>
          <w:rFonts w:ascii="Arial" w:hAnsi="Arial" w:cs="Arial"/>
          <w:sz w:val="20"/>
          <w:szCs w:val="20"/>
        </w:rPr>
      </w:pPr>
      <w:r>
        <w:rPr>
          <w:rFonts w:ascii="Arial" w:hAnsi="Arial" w:cs="Arial"/>
          <w:sz w:val="20"/>
          <w:szCs w:val="20"/>
        </w:rPr>
        <w:t xml:space="preserve">Para firmeza e validade do pactuado, a presente Ata foi lavrada em via única, que, depois de lida e achada em ordem, vai assinada pelas partes </w:t>
      </w:r>
      <w:r>
        <w:rPr>
          <w:rFonts w:ascii="Arial" w:hAnsi="Arial" w:cs="Arial"/>
          <w:iCs/>
          <w:color w:val="FF0000"/>
          <w:sz w:val="20"/>
          <w:szCs w:val="20"/>
        </w:rPr>
        <w:t xml:space="preserve">e disponibilizada em </w:t>
      </w:r>
      <w:hyperlink r:id="rId69" w:history="1">
        <w:r>
          <w:rPr>
            <w:rStyle w:val="Hyperlink"/>
            <w:rFonts w:ascii="Arial" w:hAnsi="Arial" w:cs="Arial"/>
            <w:iCs/>
            <w:color w:val="FF0000"/>
            <w:sz w:val="20"/>
            <w:szCs w:val="20"/>
          </w:rPr>
          <w:t>https://ufsj.edu.br/dimap/secol-atasvigentes.php</w:t>
        </w:r>
      </w:hyperlink>
      <w:r>
        <w:rPr>
          <w:rFonts w:ascii="Arial" w:hAnsi="Arial" w:cs="Arial"/>
          <w:iCs/>
          <w:color w:val="FF0000"/>
          <w:sz w:val="20"/>
          <w:szCs w:val="20"/>
        </w:rPr>
        <w:t xml:space="preserve">. </w:t>
      </w:r>
    </w:p>
    <w:p w14:paraId="1D015885" w14:textId="77777777" w:rsidR="00E878FB" w:rsidRDefault="00E878FB">
      <w:pPr>
        <w:widowControl w:val="0"/>
        <w:autoSpaceDE w:val="0"/>
        <w:autoSpaceDN w:val="0"/>
        <w:adjustRightInd w:val="0"/>
        <w:spacing w:line="360" w:lineRule="auto"/>
        <w:ind w:right="-30"/>
        <w:jc w:val="center"/>
        <w:rPr>
          <w:rFonts w:ascii="Arial" w:hAnsi="Arial" w:cs="Arial"/>
          <w:sz w:val="20"/>
          <w:szCs w:val="20"/>
        </w:rPr>
      </w:pPr>
    </w:p>
    <w:p w14:paraId="0042DF77" w14:textId="77777777" w:rsidR="00E878FB" w:rsidRDefault="00C43B83">
      <w:pPr>
        <w:widowControl w:val="0"/>
        <w:autoSpaceDE w:val="0"/>
        <w:autoSpaceDN w:val="0"/>
        <w:adjustRightInd w:val="0"/>
        <w:spacing w:line="360" w:lineRule="auto"/>
        <w:ind w:right="-30"/>
        <w:jc w:val="right"/>
        <w:rPr>
          <w:rFonts w:ascii="Arial" w:hAnsi="Arial" w:cs="Arial"/>
          <w:color w:val="FF0000"/>
          <w:sz w:val="20"/>
          <w:szCs w:val="20"/>
        </w:rPr>
      </w:pPr>
      <w:r>
        <w:rPr>
          <w:rFonts w:ascii="Arial" w:hAnsi="Arial" w:cs="Arial"/>
          <w:sz w:val="20"/>
          <w:szCs w:val="20"/>
        </w:rPr>
        <w:t xml:space="preserve">São João del Rei, </w:t>
      </w:r>
      <w:r>
        <w:rPr>
          <w:rFonts w:ascii="Arial" w:hAnsi="Arial" w:cs="Arial"/>
          <w:color w:val="FF0000"/>
          <w:sz w:val="20"/>
          <w:szCs w:val="20"/>
        </w:rPr>
        <w:t>XX de XXXXXX de 20XX</w:t>
      </w:r>
    </w:p>
    <w:p w14:paraId="656D9AC4" w14:textId="77777777" w:rsidR="00E878FB" w:rsidRDefault="00E878FB">
      <w:pPr>
        <w:widowControl w:val="0"/>
        <w:autoSpaceDE w:val="0"/>
        <w:autoSpaceDN w:val="0"/>
        <w:adjustRightInd w:val="0"/>
        <w:spacing w:line="360" w:lineRule="auto"/>
        <w:ind w:right="-30"/>
        <w:jc w:val="right"/>
        <w:rPr>
          <w:rFonts w:ascii="Arial" w:hAnsi="Arial" w:cs="Arial"/>
          <w:sz w:val="20"/>
          <w:szCs w:val="20"/>
        </w:rPr>
      </w:pPr>
    </w:p>
    <w:p w14:paraId="46A3F125" w14:textId="77777777" w:rsidR="00E878FB" w:rsidRDefault="00C43B83">
      <w:pPr>
        <w:widowControl w:val="0"/>
        <w:autoSpaceDE w:val="0"/>
        <w:autoSpaceDN w:val="0"/>
        <w:adjustRightInd w:val="0"/>
        <w:spacing w:line="360" w:lineRule="auto"/>
        <w:ind w:right="-30"/>
        <w:jc w:val="center"/>
        <w:rPr>
          <w:rFonts w:ascii="Arial" w:hAnsi="Arial" w:cs="Arial"/>
          <w:sz w:val="20"/>
          <w:szCs w:val="20"/>
        </w:rPr>
      </w:pPr>
      <w:r>
        <w:rPr>
          <w:rFonts w:ascii="Arial" w:hAnsi="Arial" w:cs="Arial"/>
          <w:sz w:val="20"/>
          <w:szCs w:val="20"/>
        </w:rPr>
        <w:t>Assinaturas</w:t>
      </w:r>
    </w:p>
    <w:p w14:paraId="64803B47" w14:textId="77777777" w:rsidR="00E878FB" w:rsidRDefault="00E878FB">
      <w:pPr>
        <w:widowControl w:val="0"/>
        <w:autoSpaceDE w:val="0"/>
        <w:autoSpaceDN w:val="0"/>
        <w:adjustRightInd w:val="0"/>
        <w:spacing w:line="360" w:lineRule="auto"/>
        <w:ind w:right="-30"/>
        <w:jc w:val="center"/>
        <w:rPr>
          <w:rFonts w:ascii="Arial" w:hAnsi="Arial" w:cs="Arial"/>
          <w:sz w:val="20"/>
          <w:szCs w:val="20"/>
        </w:rPr>
      </w:pPr>
    </w:p>
    <w:p w14:paraId="228540D1" w14:textId="77777777" w:rsidR="00E878FB" w:rsidRDefault="00C43B83">
      <w:pPr>
        <w:widowControl w:val="0"/>
        <w:autoSpaceDE w:val="0"/>
        <w:autoSpaceDN w:val="0"/>
        <w:adjustRightInd w:val="0"/>
        <w:spacing w:line="360" w:lineRule="auto"/>
        <w:ind w:right="-30"/>
        <w:jc w:val="center"/>
        <w:rPr>
          <w:rFonts w:ascii="Arial" w:hAnsi="Arial" w:cs="Arial"/>
          <w:color w:val="000000"/>
          <w:sz w:val="20"/>
          <w:szCs w:val="20"/>
        </w:rPr>
      </w:pPr>
      <w:r>
        <w:rPr>
          <w:rFonts w:ascii="Arial" w:hAnsi="Arial" w:cs="Arial"/>
          <w:sz w:val="20"/>
          <w:szCs w:val="20"/>
        </w:rPr>
        <w:t xml:space="preserve">Representante legal do órgão gerenciador e representante(s) legal(is) do(s) </w:t>
      </w:r>
      <w:r>
        <w:rPr>
          <w:rFonts w:ascii="Arial" w:hAnsi="Arial" w:cs="Arial"/>
          <w:color w:val="000000"/>
          <w:sz w:val="20"/>
          <w:szCs w:val="20"/>
        </w:rPr>
        <w:t>fornecedor(s) registrado(s)</w:t>
      </w:r>
    </w:p>
    <w:p w14:paraId="4CC9D4C2" w14:textId="77777777" w:rsidR="00E878FB" w:rsidRDefault="00E878FB">
      <w:pPr>
        <w:rPr>
          <w:rFonts w:ascii="Arial" w:eastAsia="Times New Roman" w:hAnsi="Arial" w:cs="Arial"/>
          <w:sz w:val="20"/>
          <w:szCs w:val="20"/>
          <w:u w:val="single"/>
        </w:rPr>
      </w:pPr>
    </w:p>
    <w:sectPr w:rsidR="00E878FB">
      <w:footerReference w:type="default" r:id="rId70"/>
      <w:pgSz w:w="11906" w:h="16838"/>
      <w:pgMar w:top="1134" w:right="850" w:bottom="850" w:left="1134"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E73088" w14:textId="77777777" w:rsidR="00C43B83" w:rsidRDefault="00C43B83">
      <w:r>
        <w:separator/>
      </w:r>
    </w:p>
  </w:endnote>
  <w:endnote w:type="continuationSeparator" w:id="0">
    <w:p w14:paraId="70F365AC" w14:textId="77777777" w:rsidR="00C43B83" w:rsidRDefault="00C43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cofont_Spranq_eco_Sans">
    <w:altName w:val="Cambria"/>
    <w:charset w:val="00"/>
    <w:family w:val="swiss"/>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6FB9" w14:textId="77777777" w:rsidR="00E878FB" w:rsidRDefault="00E878FB">
    <w:pPr>
      <w:pStyle w:val="NormalWeb"/>
      <w:spacing w:beforeAutospacing="0" w:afterAutospacing="0" w:line="15" w:lineRule="atLeast"/>
      <w:jc w:val="both"/>
      <w:rPr>
        <w:rFonts w:ascii="Arial" w:hAnsi="Arial" w:cs="Arial"/>
        <w:color w:val="000000"/>
        <w:sz w:val="11"/>
        <w:szCs w:val="1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3AB42" w14:textId="77777777" w:rsidR="00C43B83" w:rsidRDefault="00C43B83">
      <w:r>
        <w:separator/>
      </w:r>
    </w:p>
  </w:footnote>
  <w:footnote w:type="continuationSeparator" w:id="0">
    <w:p w14:paraId="3B3F13BD" w14:textId="77777777" w:rsidR="00C43B83" w:rsidRDefault="00C43B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1" w15:restartNumberingAfterBreak="0">
    <w:nsid w:val="080F4AB9"/>
    <w:multiLevelType w:val="multilevel"/>
    <w:tmpl w:val="080F4AB9"/>
    <w:lvl w:ilvl="0">
      <w:start w:val="1"/>
      <w:numFmt w:val="decimal"/>
      <w:lvlText w:val="%1."/>
      <w:lvlJc w:val="left"/>
      <w:pPr>
        <w:ind w:left="360" w:hanging="360"/>
      </w:pPr>
      <w:rPr>
        <w:rFonts w:hint="default"/>
        <w:b/>
      </w:rPr>
    </w:lvl>
    <w:lvl w:ilvl="1">
      <w:start w:val="1"/>
      <w:numFmt w:val="decimal"/>
      <w:lvlText w:val="%1.%2."/>
      <w:lvlJc w:val="left"/>
      <w:pPr>
        <w:ind w:left="9363" w:hanging="432"/>
      </w:pPr>
      <w:rPr>
        <w:rFonts w:hint="default"/>
        <w:b w:val="0"/>
        <w:i w:val="0"/>
        <w:strike w:val="0"/>
        <w:color w:val="auto"/>
        <w:sz w:val="20"/>
        <w:szCs w:val="20"/>
        <w:u w:val="none"/>
      </w:rPr>
    </w:lvl>
    <w:lvl w:ilvl="2">
      <w:start w:val="1"/>
      <w:numFmt w:val="decimal"/>
      <w:lvlText w:val="%1.%2.%3"/>
      <w:lvlJc w:val="left"/>
      <w:pPr>
        <w:ind w:left="6175" w:hanging="504"/>
      </w:pPr>
      <w:rPr>
        <w:rFonts w:hint="default"/>
        <w:b w:val="0"/>
        <w:i w:val="0"/>
        <w:strike w:val="0"/>
        <w:color w:val="000000" w:themeColor="text1"/>
        <w:sz w:val="20"/>
        <w:szCs w:val="20"/>
      </w:rPr>
    </w:lvl>
    <w:lvl w:ilvl="3">
      <w:start w:val="1"/>
      <w:numFmt w:val="decimal"/>
      <w:lvlText w:val="%1.%2.%3.%4."/>
      <w:lvlJc w:val="left"/>
      <w:pPr>
        <w:ind w:left="2491"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1983857"/>
    <w:multiLevelType w:val="multilevel"/>
    <w:tmpl w:val="11983857"/>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D5C100D"/>
    <w:multiLevelType w:val="multilevel"/>
    <w:tmpl w:val="1D5C100D"/>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1639"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82166A"/>
    <w:multiLevelType w:val="multilevel"/>
    <w:tmpl w:val="3182166A"/>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pStyle w:val="Nvel3-Opcion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 w15:restartNumberingAfterBreak="0">
    <w:nsid w:val="4691757A"/>
    <w:multiLevelType w:val="multilevel"/>
    <w:tmpl w:val="4691757A"/>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6" w15:restartNumberingAfterBreak="0">
    <w:nsid w:val="5FD5328B"/>
    <w:multiLevelType w:val="multilevel"/>
    <w:tmpl w:val="5FD5328B"/>
    <w:lvl w:ilvl="0">
      <w:start w:val="1"/>
      <w:numFmt w:val="decimal"/>
      <w:lvlText w:val="%1."/>
      <w:lvlJc w:val="left"/>
      <w:pPr>
        <w:ind w:left="1495" w:hanging="360"/>
      </w:pPr>
      <w:rPr>
        <w:rFonts w:hint="default"/>
        <w:b/>
      </w:rPr>
    </w:lvl>
    <w:lvl w:ilvl="1">
      <w:start w:val="1"/>
      <w:numFmt w:val="decimal"/>
      <w:lvlText w:val="%1.%2."/>
      <w:lvlJc w:val="left"/>
      <w:pPr>
        <w:ind w:left="1709" w:hanging="432"/>
      </w:pPr>
      <w:rPr>
        <w:rFonts w:hint="default"/>
        <w:b w:val="0"/>
        <w:i w:val="0"/>
        <w:strike w:val="0"/>
        <w:color w:val="auto"/>
        <w:sz w:val="20"/>
        <w:szCs w:val="20"/>
        <w:u w:val="none"/>
      </w:rPr>
    </w:lvl>
    <w:lvl w:ilvl="2">
      <w:start w:val="1"/>
      <w:numFmt w:val="decimal"/>
      <w:lvlText w:val="%1.%2.%3"/>
      <w:lvlJc w:val="left"/>
      <w:pPr>
        <w:ind w:left="3624" w:hanging="504"/>
      </w:pPr>
      <w:rPr>
        <w:rFonts w:hint="default"/>
        <w:b w:val="0"/>
        <w:i w:val="0"/>
        <w:strike w:val="0"/>
        <w:color w:val="000000" w:themeColor="text1"/>
        <w:sz w:val="20"/>
        <w:szCs w:val="20"/>
      </w:rPr>
    </w:lvl>
    <w:lvl w:ilvl="3">
      <w:start w:val="1"/>
      <w:numFmt w:val="lowerLetter"/>
      <w:lvlText w:val="%4)"/>
      <w:lvlJc w:val="left"/>
      <w:pPr>
        <w:ind w:left="3626" w:hanging="648"/>
      </w:pPr>
    </w:lvl>
    <w:lvl w:ilvl="4">
      <w:start w:val="1"/>
      <w:numFmt w:val="decimal"/>
      <w:lvlText w:val="%1.%2.%3.%4.%5."/>
      <w:lvlJc w:val="left"/>
      <w:pPr>
        <w:ind w:left="3367" w:hanging="792"/>
      </w:pPr>
      <w:rPr>
        <w:rFonts w:hint="default"/>
      </w:rPr>
    </w:lvl>
    <w:lvl w:ilvl="5">
      <w:start w:val="1"/>
      <w:numFmt w:val="decimal"/>
      <w:lvlText w:val="%1.%2.%3.%4.%5.%6."/>
      <w:lvlJc w:val="left"/>
      <w:pPr>
        <w:ind w:left="3871" w:hanging="936"/>
      </w:pPr>
      <w:rPr>
        <w:rFonts w:hint="default"/>
      </w:rPr>
    </w:lvl>
    <w:lvl w:ilvl="6">
      <w:start w:val="1"/>
      <w:numFmt w:val="decimal"/>
      <w:lvlText w:val="%1.%2.%3.%4.%5.%6.%7."/>
      <w:lvlJc w:val="left"/>
      <w:pPr>
        <w:ind w:left="4375" w:hanging="1080"/>
      </w:pPr>
      <w:rPr>
        <w:rFonts w:hint="default"/>
      </w:rPr>
    </w:lvl>
    <w:lvl w:ilvl="7">
      <w:start w:val="1"/>
      <w:numFmt w:val="decimal"/>
      <w:lvlText w:val="%1.%2.%3.%4.%5.%6.%7.%8."/>
      <w:lvlJc w:val="left"/>
      <w:pPr>
        <w:ind w:left="4879" w:hanging="1224"/>
      </w:pPr>
      <w:rPr>
        <w:rFonts w:hint="default"/>
      </w:rPr>
    </w:lvl>
    <w:lvl w:ilvl="8">
      <w:start w:val="1"/>
      <w:numFmt w:val="decimal"/>
      <w:lvlText w:val="%1.%2.%3.%4.%5.%6.%7.%8.%9."/>
      <w:lvlJc w:val="left"/>
      <w:pPr>
        <w:ind w:left="5455" w:hanging="1440"/>
      </w:pPr>
      <w:rPr>
        <w:rFonts w:hint="default"/>
      </w:rPr>
    </w:lvl>
  </w:abstractNum>
  <w:abstractNum w:abstractNumId="7" w15:restartNumberingAfterBreak="0">
    <w:nsid w:val="68696376"/>
    <w:multiLevelType w:val="multilevel"/>
    <w:tmpl w:val="68696376"/>
    <w:lvl w:ilvl="0">
      <w:start w:val="1"/>
      <w:numFmt w:val="lowerLetter"/>
      <w:lvlText w:val="%1)"/>
      <w:lvlJc w:val="left"/>
      <w:pPr>
        <w:ind w:left="2130" w:hanging="360"/>
      </w:pPr>
    </w:lvl>
    <w:lvl w:ilvl="1">
      <w:start w:val="1"/>
      <w:numFmt w:val="lowerLetter"/>
      <w:lvlText w:val="%2."/>
      <w:lvlJc w:val="left"/>
      <w:pPr>
        <w:ind w:left="2850" w:hanging="360"/>
      </w:pPr>
    </w:lvl>
    <w:lvl w:ilvl="2">
      <w:start w:val="1"/>
      <w:numFmt w:val="lowerRoman"/>
      <w:lvlText w:val="%3."/>
      <w:lvlJc w:val="right"/>
      <w:pPr>
        <w:ind w:left="3570" w:hanging="180"/>
      </w:pPr>
    </w:lvl>
    <w:lvl w:ilvl="3">
      <w:start w:val="1"/>
      <w:numFmt w:val="decimal"/>
      <w:lvlText w:val="%4."/>
      <w:lvlJc w:val="left"/>
      <w:pPr>
        <w:ind w:left="4290" w:hanging="360"/>
      </w:pPr>
    </w:lvl>
    <w:lvl w:ilvl="4">
      <w:start w:val="1"/>
      <w:numFmt w:val="lowerLetter"/>
      <w:lvlText w:val="%5."/>
      <w:lvlJc w:val="left"/>
      <w:pPr>
        <w:ind w:left="5010" w:hanging="360"/>
      </w:pPr>
    </w:lvl>
    <w:lvl w:ilvl="5">
      <w:start w:val="1"/>
      <w:numFmt w:val="lowerRoman"/>
      <w:lvlText w:val="%6."/>
      <w:lvlJc w:val="right"/>
      <w:pPr>
        <w:ind w:left="5730" w:hanging="180"/>
      </w:pPr>
    </w:lvl>
    <w:lvl w:ilvl="6">
      <w:start w:val="1"/>
      <w:numFmt w:val="decimal"/>
      <w:lvlText w:val="%7."/>
      <w:lvlJc w:val="left"/>
      <w:pPr>
        <w:ind w:left="6450" w:hanging="360"/>
      </w:pPr>
    </w:lvl>
    <w:lvl w:ilvl="7">
      <w:start w:val="1"/>
      <w:numFmt w:val="lowerLetter"/>
      <w:lvlText w:val="%8."/>
      <w:lvlJc w:val="left"/>
      <w:pPr>
        <w:ind w:left="7170" w:hanging="360"/>
      </w:pPr>
    </w:lvl>
    <w:lvl w:ilvl="8">
      <w:start w:val="1"/>
      <w:numFmt w:val="lowerRoman"/>
      <w:lvlText w:val="%9."/>
      <w:lvlJc w:val="right"/>
      <w:pPr>
        <w:ind w:left="7890" w:hanging="180"/>
      </w:pPr>
    </w:lvl>
  </w:abstractNum>
  <w:abstractNum w:abstractNumId="8" w15:restartNumberingAfterBreak="0">
    <w:nsid w:val="6B16767E"/>
    <w:multiLevelType w:val="multilevel"/>
    <w:tmpl w:val="6B16767E"/>
    <w:lvl w:ilvl="0">
      <w:start w:val="1"/>
      <w:numFmt w:val="lowerLetter"/>
      <w:lvlText w:val="%1)"/>
      <w:lvlJc w:val="left"/>
      <w:pPr>
        <w:tabs>
          <w:tab w:val="left" w:pos="0"/>
        </w:tabs>
        <w:ind w:left="2988" w:hanging="360"/>
      </w:pPr>
    </w:lvl>
    <w:lvl w:ilvl="1">
      <w:start w:val="1"/>
      <w:numFmt w:val="lowerLetter"/>
      <w:lvlText w:val="%2."/>
      <w:lvlJc w:val="left"/>
      <w:pPr>
        <w:tabs>
          <w:tab w:val="left" w:pos="0"/>
        </w:tabs>
        <w:ind w:left="3708" w:hanging="360"/>
      </w:pPr>
    </w:lvl>
    <w:lvl w:ilvl="2">
      <w:start w:val="1"/>
      <w:numFmt w:val="lowerRoman"/>
      <w:lvlText w:val="%3."/>
      <w:lvlJc w:val="right"/>
      <w:pPr>
        <w:tabs>
          <w:tab w:val="left" w:pos="0"/>
        </w:tabs>
        <w:ind w:left="4428" w:hanging="180"/>
      </w:pPr>
    </w:lvl>
    <w:lvl w:ilvl="3">
      <w:start w:val="1"/>
      <w:numFmt w:val="decimal"/>
      <w:lvlText w:val="%4."/>
      <w:lvlJc w:val="left"/>
      <w:pPr>
        <w:tabs>
          <w:tab w:val="left" w:pos="0"/>
        </w:tabs>
        <w:ind w:left="5148" w:hanging="360"/>
      </w:pPr>
    </w:lvl>
    <w:lvl w:ilvl="4">
      <w:start w:val="1"/>
      <w:numFmt w:val="lowerLetter"/>
      <w:lvlText w:val="%5."/>
      <w:lvlJc w:val="left"/>
      <w:pPr>
        <w:tabs>
          <w:tab w:val="left" w:pos="0"/>
        </w:tabs>
        <w:ind w:left="5868" w:hanging="360"/>
      </w:pPr>
    </w:lvl>
    <w:lvl w:ilvl="5">
      <w:start w:val="1"/>
      <w:numFmt w:val="lowerRoman"/>
      <w:lvlText w:val="%6."/>
      <w:lvlJc w:val="right"/>
      <w:pPr>
        <w:tabs>
          <w:tab w:val="left" w:pos="0"/>
        </w:tabs>
        <w:ind w:left="6588" w:hanging="180"/>
      </w:pPr>
    </w:lvl>
    <w:lvl w:ilvl="6">
      <w:start w:val="1"/>
      <w:numFmt w:val="decimal"/>
      <w:lvlText w:val="%7."/>
      <w:lvlJc w:val="left"/>
      <w:pPr>
        <w:tabs>
          <w:tab w:val="left" w:pos="0"/>
        </w:tabs>
        <w:ind w:left="7308" w:hanging="360"/>
      </w:pPr>
    </w:lvl>
    <w:lvl w:ilvl="7">
      <w:start w:val="1"/>
      <w:numFmt w:val="lowerLetter"/>
      <w:lvlText w:val="%8."/>
      <w:lvlJc w:val="left"/>
      <w:pPr>
        <w:tabs>
          <w:tab w:val="left" w:pos="0"/>
        </w:tabs>
        <w:ind w:left="8028" w:hanging="360"/>
      </w:pPr>
    </w:lvl>
    <w:lvl w:ilvl="8">
      <w:start w:val="1"/>
      <w:numFmt w:val="lowerRoman"/>
      <w:lvlText w:val="%9."/>
      <w:lvlJc w:val="right"/>
      <w:pPr>
        <w:tabs>
          <w:tab w:val="left" w:pos="0"/>
        </w:tabs>
        <w:ind w:left="8748" w:hanging="180"/>
      </w:pPr>
    </w:lvl>
  </w:abstractNum>
  <w:num w:numId="1" w16cid:durableId="771970038">
    <w:abstractNumId w:val="0"/>
  </w:num>
  <w:num w:numId="2" w16cid:durableId="1612084867">
    <w:abstractNumId w:val="3"/>
  </w:num>
  <w:num w:numId="3" w16cid:durableId="1416828512">
    <w:abstractNumId w:val="4"/>
  </w:num>
  <w:num w:numId="4" w16cid:durableId="2295772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74731733">
    <w:abstractNumId w:val="5"/>
  </w:num>
  <w:num w:numId="6" w16cid:durableId="682367148">
    <w:abstractNumId w:val="1"/>
  </w:num>
  <w:num w:numId="7" w16cid:durableId="313143635">
    <w:abstractNumId w:val="7"/>
  </w:num>
  <w:num w:numId="8" w16cid:durableId="1387952225">
    <w:abstractNumId w:val="6"/>
  </w:num>
  <w:num w:numId="9" w16cid:durableId="506940334">
    <w:abstractNumId w:val="8"/>
  </w:num>
  <w:num w:numId="10" w16cid:durableId="2333958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defaultTabStop w:val="708"/>
  <w:hyphenationZone w:val="425"/>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5583B40"/>
    <w:rsid w:val="0000348E"/>
    <w:rsid w:val="00066E87"/>
    <w:rsid w:val="000A3A95"/>
    <w:rsid w:val="000C78E3"/>
    <w:rsid w:val="001066E9"/>
    <w:rsid w:val="00143D70"/>
    <w:rsid w:val="00156804"/>
    <w:rsid w:val="001B439B"/>
    <w:rsid w:val="00220404"/>
    <w:rsid w:val="00222392"/>
    <w:rsid w:val="00231148"/>
    <w:rsid w:val="002450E8"/>
    <w:rsid w:val="002664B9"/>
    <w:rsid w:val="0026700B"/>
    <w:rsid w:val="00285884"/>
    <w:rsid w:val="00301FA0"/>
    <w:rsid w:val="003262C5"/>
    <w:rsid w:val="0033016B"/>
    <w:rsid w:val="00365062"/>
    <w:rsid w:val="003717C2"/>
    <w:rsid w:val="003E58A6"/>
    <w:rsid w:val="004071C1"/>
    <w:rsid w:val="00450C1B"/>
    <w:rsid w:val="004C479D"/>
    <w:rsid w:val="004C5F91"/>
    <w:rsid w:val="004C7008"/>
    <w:rsid w:val="004F7B56"/>
    <w:rsid w:val="00511CF9"/>
    <w:rsid w:val="00536A87"/>
    <w:rsid w:val="005546A5"/>
    <w:rsid w:val="0059300C"/>
    <w:rsid w:val="005C061F"/>
    <w:rsid w:val="00634A07"/>
    <w:rsid w:val="006561EF"/>
    <w:rsid w:val="00656911"/>
    <w:rsid w:val="006C7C52"/>
    <w:rsid w:val="006E2408"/>
    <w:rsid w:val="00701A14"/>
    <w:rsid w:val="007366F7"/>
    <w:rsid w:val="007438BD"/>
    <w:rsid w:val="00765D1A"/>
    <w:rsid w:val="00802804"/>
    <w:rsid w:val="00803E7A"/>
    <w:rsid w:val="00811930"/>
    <w:rsid w:val="00816AFC"/>
    <w:rsid w:val="00841A51"/>
    <w:rsid w:val="00846761"/>
    <w:rsid w:val="00885355"/>
    <w:rsid w:val="008A0297"/>
    <w:rsid w:val="008B160B"/>
    <w:rsid w:val="008C1A2B"/>
    <w:rsid w:val="008C488A"/>
    <w:rsid w:val="00934DC4"/>
    <w:rsid w:val="0094508D"/>
    <w:rsid w:val="00947000"/>
    <w:rsid w:val="00960EC6"/>
    <w:rsid w:val="00965B5C"/>
    <w:rsid w:val="00973625"/>
    <w:rsid w:val="00980E5C"/>
    <w:rsid w:val="00992E48"/>
    <w:rsid w:val="009D5885"/>
    <w:rsid w:val="009E7BB0"/>
    <w:rsid w:val="00A04C93"/>
    <w:rsid w:val="00A06673"/>
    <w:rsid w:val="00A30AFA"/>
    <w:rsid w:val="00A90729"/>
    <w:rsid w:val="00AA6A9E"/>
    <w:rsid w:val="00AF35B8"/>
    <w:rsid w:val="00B26B72"/>
    <w:rsid w:val="00B64132"/>
    <w:rsid w:val="00B82ED3"/>
    <w:rsid w:val="00BE2070"/>
    <w:rsid w:val="00C43B83"/>
    <w:rsid w:val="00C516E6"/>
    <w:rsid w:val="00C92A0F"/>
    <w:rsid w:val="00CA37C4"/>
    <w:rsid w:val="00CA7693"/>
    <w:rsid w:val="00CB7632"/>
    <w:rsid w:val="00CC07D9"/>
    <w:rsid w:val="00D1414E"/>
    <w:rsid w:val="00D34523"/>
    <w:rsid w:val="00D638C7"/>
    <w:rsid w:val="00D955FB"/>
    <w:rsid w:val="00DD3605"/>
    <w:rsid w:val="00E46225"/>
    <w:rsid w:val="00E77398"/>
    <w:rsid w:val="00E878FB"/>
    <w:rsid w:val="00E96D86"/>
    <w:rsid w:val="00ED2E44"/>
    <w:rsid w:val="00F31EEF"/>
    <w:rsid w:val="00F41B95"/>
    <w:rsid w:val="00F421EF"/>
    <w:rsid w:val="00F47B61"/>
    <w:rsid w:val="00F73399"/>
    <w:rsid w:val="00F741E6"/>
    <w:rsid w:val="00F877C4"/>
    <w:rsid w:val="00FB52A6"/>
    <w:rsid w:val="00FD0329"/>
    <w:rsid w:val="04B005E9"/>
    <w:rsid w:val="05583B40"/>
    <w:rsid w:val="0C704292"/>
    <w:rsid w:val="0F013EAE"/>
    <w:rsid w:val="12BF2650"/>
    <w:rsid w:val="1694429A"/>
    <w:rsid w:val="1E0F5C2A"/>
    <w:rsid w:val="21222D6A"/>
    <w:rsid w:val="220C111D"/>
    <w:rsid w:val="233A7BD5"/>
    <w:rsid w:val="27E446FD"/>
    <w:rsid w:val="321013D8"/>
    <w:rsid w:val="32B6720A"/>
    <w:rsid w:val="39577A5A"/>
    <w:rsid w:val="48B04C18"/>
    <w:rsid w:val="49A21DA1"/>
    <w:rsid w:val="4CA73C15"/>
    <w:rsid w:val="4E3D6DE5"/>
    <w:rsid w:val="51B82C38"/>
    <w:rsid w:val="54194F29"/>
    <w:rsid w:val="56784662"/>
    <w:rsid w:val="58024048"/>
    <w:rsid w:val="58A10E45"/>
    <w:rsid w:val="5DA1446B"/>
    <w:rsid w:val="67AA3C97"/>
    <w:rsid w:val="6C2543D5"/>
    <w:rsid w:val="76F163F3"/>
    <w:rsid w:val="79ED75D2"/>
    <w:rsid w:val="7A640E1B"/>
    <w:rsid w:val="7B834F94"/>
    <w:rsid w:val="7C7B7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6F8AEA"/>
  <w15:docId w15:val="{DB5B461D-812F-416D-9793-44A1CC4F0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footer" w:uiPriority="99" w:qFormat="1"/>
    <w:lsdException w:name="caption" w:semiHidden="1" w:unhideWhenUsed="1" w:qFormat="1"/>
    <w:lsdException w:name="annotation reference" w:unhideWhenUsed="1"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Ecofont_Spranq_eco_Sans" w:eastAsiaTheme="minorEastAsia" w:hAnsi="Ecofont_Spranq_eco_Sans" w:cs="Tahoma"/>
      <w:sz w:val="24"/>
      <w:szCs w:val="24"/>
    </w:rPr>
  </w:style>
  <w:style w:type="paragraph" w:styleId="Heading1">
    <w:name w:val="heading 1"/>
    <w:basedOn w:val="Normal"/>
    <w:next w:val="Normal"/>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nhideWhenUsed/>
    <w:qFormat/>
    <w:rPr>
      <w:sz w:val="16"/>
      <w:szCs w:val="16"/>
    </w:rPr>
  </w:style>
  <w:style w:type="character" w:styleId="Hyperlink">
    <w:name w:val="Hyperlink"/>
    <w:basedOn w:val="DefaultParagraphFont"/>
    <w:qFormat/>
    <w:rPr>
      <w:color w:val="0000FF"/>
      <w:u w:val="single"/>
    </w:rPr>
  </w:style>
  <w:style w:type="paragraph" w:styleId="CommentText">
    <w:name w:val="annotation text"/>
    <w:basedOn w:val="Normal"/>
    <w:link w:val="CommentTextChar"/>
    <w:uiPriority w:val="99"/>
    <w:unhideWhenUsed/>
    <w:qFormat/>
    <w:rPr>
      <w:sz w:val="20"/>
      <w:szCs w:val="20"/>
    </w:rPr>
  </w:style>
  <w:style w:type="paragraph" w:styleId="ListBullet5">
    <w:name w:val="List Bullet 5"/>
    <w:basedOn w:val="Normal"/>
    <w:qFormat/>
    <w:pPr>
      <w:numPr>
        <w:numId w:val="1"/>
      </w:numPr>
      <w:contextualSpacing/>
    </w:pPr>
  </w:style>
  <w:style w:type="paragraph" w:styleId="NormalWeb">
    <w:name w:val="Normal (Web)"/>
    <w:qFormat/>
    <w:pPr>
      <w:spacing w:beforeAutospacing="1" w:afterAutospacing="1"/>
    </w:pPr>
    <w:rPr>
      <w:szCs w:val="24"/>
      <w:lang w:val="en-US" w:eastAsia="zh-CN"/>
    </w:rPr>
  </w:style>
  <w:style w:type="paragraph" w:styleId="Header">
    <w:name w:val="header"/>
    <w:basedOn w:val="Normal"/>
    <w:qFormat/>
    <w:pPr>
      <w:tabs>
        <w:tab w:val="center" w:pos="4252"/>
        <w:tab w:val="right" w:pos="8504"/>
      </w:tabs>
    </w:pPr>
  </w:style>
  <w:style w:type="paragraph" w:styleId="CommentSubject">
    <w:name w:val="annotation subject"/>
    <w:basedOn w:val="CommentText"/>
    <w:next w:val="CommentText"/>
    <w:link w:val="CommentSubjectChar"/>
    <w:qFormat/>
    <w:rPr>
      <w:b/>
      <w:bCs/>
    </w:rPr>
  </w:style>
  <w:style w:type="paragraph" w:styleId="Footer">
    <w:name w:val="footer"/>
    <w:basedOn w:val="Normal"/>
    <w:uiPriority w:val="99"/>
    <w:qFormat/>
    <w:pPr>
      <w:tabs>
        <w:tab w:val="center" w:pos="4252"/>
        <w:tab w:val="right" w:pos="8504"/>
      </w:tabs>
    </w:pPr>
  </w:style>
  <w:style w:type="paragraph" w:styleId="BalloonText">
    <w:name w:val="Balloon Text"/>
    <w:basedOn w:val="Normal"/>
    <w:link w:val="BalloonTextChar"/>
    <w:qFormat/>
    <w:rPr>
      <w:rFonts w:ascii="Segoe UI" w:hAnsi="Segoe UI" w:cs="Segoe UI"/>
      <w:sz w:val="18"/>
      <w:szCs w:val="18"/>
    </w:rPr>
  </w:style>
  <w:style w:type="paragraph" w:customStyle="1" w:styleId="Nivel2">
    <w:name w:val="Nivel 2"/>
    <w:basedOn w:val="Normal"/>
    <w:link w:val="Nivel2Char"/>
    <w:qFormat/>
    <w:pPr>
      <w:numPr>
        <w:ilvl w:val="1"/>
        <w:numId w:val="2"/>
      </w:numPr>
      <w:spacing w:before="120" w:after="120" w:line="276" w:lineRule="auto"/>
      <w:jc w:val="both"/>
    </w:pPr>
    <w:rPr>
      <w:rFonts w:ascii="Arial" w:hAnsi="Arial" w:cs="Arial"/>
      <w:color w:val="000000"/>
      <w:sz w:val="20"/>
      <w:szCs w:val="20"/>
    </w:rPr>
  </w:style>
  <w:style w:type="paragraph" w:styleId="ListParagraph">
    <w:name w:val="List Paragraph"/>
    <w:basedOn w:val="Normal"/>
    <w:uiPriority w:val="34"/>
    <w:qFormat/>
    <w:pPr>
      <w:ind w:left="720"/>
      <w:contextualSpacing/>
    </w:pPr>
  </w:style>
  <w:style w:type="paragraph" w:customStyle="1" w:styleId="Nivel01">
    <w:name w:val="Nivel 01"/>
    <w:basedOn w:val="Heading1"/>
    <w:next w:val="Normal"/>
    <w:link w:val="Nivel01Char"/>
    <w:qFormat/>
    <w:pPr>
      <w:numPr>
        <w:numId w:val="2"/>
      </w:numPr>
      <w:tabs>
        <w:tab w:val="left" w:pos="567"/>
      </w:tabs>
      <w:spacing w:before="240"/>
      <w:jc w:val="both"/>
    </w:pPr>
    <w:rPr>
      <w:rFonts w:ascii="Arial" w:hAnsi="Arial" w:cs="Arial"/>
      <w:color w:val="auto"/>
      <w:sz w:val="20"/>
      <w:szCs w:val="20"/>
    </w:rPr>
  </w:style>
  <w:style w:type="paragraph" w:customStyle="1" w:styleId="Nivel3">
    <w:name w:val="Nivel 3"/>
    <w:basedOn w:val="Normal"/>
    <w:link w:val="Nivel3Char"/>
    <w:qFormat/>
    <w:pPr>
      <w:numPr>
        <w:ilvl w:val="2"/>
        <w:numId w:val="2"/>
      </w:numPr>
      <w:spacing w:before="120" w:after="120" w:line="276" w:lineRule="auto"/>
      <w:jc w:val="both"/>
    </w:pPr>
    <w:rPr>
      <w:rFonts w:ascii="Arial" w:hAnsi="Arial" w:cs="Arial"/>
      <w:color w:val="000000"/>
      <w:sz w:val="20"/>
      <w:szCs w:val="20"/>
    </w:rPr>
  </w:style>
  <w:style w:type="paragraph" w:customStyle="1" w:styleId="Nvel2-Red">
    <w:name w:val="Nível 2 -Red"/>
    <w:basedOn w:val="Nivel2"/>
    <w:link w:val="Nvel2-RedChar"/>
    <w:qFormat/>
    <w:rPr>
      <w:i/>
      <w:iCs/>
      <w:color w:val="FF0000"/>
    </w:rPr>
  </w:style>
  <w:style w:type="paragraph" w:customStyle="1" w:styleId="Nvel3-R">
    <w:name w:val="Nível 3-R"/>
    <w:basedOn w:val="Nivel3"/>
    <w:qFormat/>
    <w:rPr>
      <w:i/>
      <w:iCs/>
      <w:color w:val="FF0000"/>
    </w:rPr>
  </w:style>
  <w:style w:type="paragraph" w:customStyle="1" w:styleId="Nvel1-SemNum">
    <w:name w:val="Nível 1-Sem Num"/>
    <w:basedOn w:val="Nivel01"/>
    <w:qFormat/>
    <w:pPr>
      <w:numPr>
        <w:numId w:val="0"/>
      </w:numPr>
      <w:ind w:left="357"/>
      <w:outlineLvl w:val="1"/>
    </w:pPr>
    <w:rPr>
      <w:color w:val="FF0000"/>
    </w:rPr>
  </w:style>
  <w:style w:type="paragraph" w:customStyle="1" w:styleId="SubTitNN">
    <w:name w:val="SubTitNN"/>
    <w:basedOn w:val="Normal"/>
    <w:link w:val="SubTitNNChar"/>
    <w:qFormat/>
    <w:pPr>
      <w:spacing w:before="240" w:after="120" w:line="276" w:lineRule="auto"/>
      <w:jc w:val="both"/>
    </w:pPr>
    <w:rPr>
      <w:rFonts w:ascii="Arial" w:eastAsia="Times New Roman" w:hAnsi="Arial" w:cs="Arial"/>
      <w:b/>
      <w:bCs/>
      <w:iCs/>
      <w:sz w:val="20"/>
      <w:szCs w:val="20"/>
    </w:rPr>
  </w:style>
  <w:style w:type="paragraph" w:customStyle="1" w:styleId="Nvel3">
    <w:name w:val="Nível 3"/>
    <w:basedOn w:val="Nvel3-R"/>
    <w:link w:val="Nvel3Char"/>
    <w:qFormat/>
    <w:pPr>
      <w:ind w:left="284"/>
    </w:pPr>
    <w:rPr>
      <w:rFonts w:eastAsia="Times New Roman"/>
      <w:i w:val="0"/>
      <w:iCs w:val="0"/>
    </w:rPr>
  </w:style>
  <w:style w:type="paragraph" w:customStyle="1" w:styleId="Nvel4">
    <w:name w:val="Nível 4"/>
    <w:basedOn w:val="Nvel3"/>
    <w:link w:val="Nvel4Char"/>
    <w:qFormat/>
    <w:pPr>
      <w:numPr>
        <w:ilvl w:val="0"/>
        <w:numId w:val="0"/>
      </w:numPr>
      <w:ind w:left="567"/>
    </w:pPr>
  </w:style>
  <w:style w:type="character" w:customStyle="1" w:styleId="BalloonTextChar">
    <w:name w:val="Balloon Text Char"/>
    <w:basedOn w:val="DefaultParagraphFont"/>
    <w:link w:val="BalloonText"/>
    <w:qFormat/>
    <w:rPr>
      <w:rFonts w:ascii="Segoe UI" w:eastAsiaTheme="minorEastAsia" w:hAnsi="Segoe UI" w:cs="Segoe UI"/>
      <w:sz w:val="18"/>
      <w:szCs w:val="18"/>
    </w:rPr>
  </w:style>
  <w:style w:type="character" w:customStyle="1" w:styleId="CommentTextChar">
    <w:name w:val="Comment Text Char"/>
    <w:basedOn w:val="DefaultParagraphFont"/>
    <w:link w:val="CommentText"/>
    <w:uiPriority w:val="99"/>
    <w:qFormat/>
    <w:rPr>
      <w:rFonts w:ascii="Ecofont_Spranq_eco_Sans" w:eastAsiaTheme="minorEastAsia" w:hAnsi="Ecofont_Spranq_eco_Sans" w:cs="Tahoma"/>
    </w:rPr>
  </w:style>
  <w:style w:type="character" w:customStyle="1" w:styleId="CommentSubjectChar">
    <w:name w:val="Comment Subject Char"/>
    <w:basedOn w:val="CommentTextChar"/>
    <w:link w:val="CommentSubject"/>
    <w:qFormat/>
    <w:rPr>
      <w:rFonts w:ascii="Ecofont_Spranq_eco_Sans" w:eastAsiaTheme="minorEastAsia" w:hAnsi="Ecofont_Spranq_eco_Sans" w:cs="Tahoma"/>
      <w:b/>
      <w:bCs/>
    </w:rPr>
  </w:style>
  <w:style w:type="character" w:customStyle="1" w:styleId="Nivel01Char">
    <w:name w:val="Nivel 01 Char"/>
    <w:basedOn w:val="DefaultParagraphFont"/>
    <w:link w:val="Nivel01"/>
    <w:qFormat/>
    <w:rPr>
      <w:rFonts w:ascii="Arial" w:eastAsiaTheme="majorEastAsia" w:hAnsi="Arial" w:cs="Arial"/>
      <w:b/>
      <w:bCs/>
    </w:rPr>
  </w:style>
  <w:style w:type="paragraph" w:customStyle="1" w:styleId="Nivel2-Opcional">
    <w:name w:val="Nivel 2-Opcional"/>
    <w:basedOn w:val="Normal"/>
    <w:autoRedefine/>
    <w:qFormat/>
    <w:pPr>
      <w:shd w:val="clear" w:color="auto" w:fill="7B7B7B" w:themeFill="accent3" w:themeFillShade="BF"/>
      <w:spacing w:before="120" w:after="120" w:line="276" w:lineRule="auto"/>
      <w:jc w:val="both"/>
    </w:pPr>
    <w:rPr>
      <w:rFonts w:ascii="Arial" w:eastAsia="Arial" w:hAnsi="Arial" w:cs="Arial"/>
      <w:i/>
      <w:color w:val="FF0000"/>
      <w:sz w:val="20"/>
      <w:szCs w:val="20"/>
    </w:rPr>
  </w:style>
  <w:style w:type="paragraph" w:customStyle="1" w:styleId="Nivel4">
    <w:name w:val="Nivel 4"/>
    <w:basedOn w:val="Nvel4-R"/>
    <w:link w:val="Nivel4Char"/>
    <w:autoRedefine/>
    <w:qFormat/>
    <w:rPr>
      <w:i w:val="0"/>
      <w:color w:val="auto"/>
    </w:rPr>
  </w:style>
  <w:style w:type="paragraph" w:customStyle="1" w:styleId="Nvel4-R">
    <w:name w:val="Nível 4-R"/>
    <w:basedOn w:val="Nvel3-Opcional"/>
    <w:link w:val="Nvel4-RChar"/>
    <w:autoRedefine/>
    <w:qFormat/>
    <w:pPr>
      <w:numPr>
        <w:ilvl w:val="0"/>
        <w:numId w:val="0"/>
      </w:numPr>
      <w:tabs>
        <w:tab w:val="left" w:pos="360"/>
      </w:tabs>
      <w:ind w:left="567"/>
    </w:pPr>
    <w:rPr>
      <w:rFonts w:cs="Arial"/>
      <w:bCs/>
      <w:szCs w:val="20"/>
    </w:rPr>
  </w:style>
  <w:style w:type="paragraph" w:customStyle="1" w:styleId="Nvel3-Opcional">
    <w:name w:val="Nível 3-Opcional"/>
    <w:basedOn w:val="Nivel3"/>
    <w:link w:val="Nvel3-OpcionalChar"/>
    <w:qFormat/>
    <w:pPr>
      <w:numPr>
        <w:numId w:val="3"/>
      </w:numPr>
      <w:ind w:left="284" w:firstLine="0"/>
    </w:pPr>
    <w:rPr>
      <w:rFonts w:cs="Tahoma"/>
      <w:i/>
      <w:color w:val="FF0000"/>
      <w:szCs w:val="24"/>
    </w:rPr>
  </w:style>
  <w:style w:type="paragraph" w:customStyle="1" w:styleId="Nivel5">
    <w:name w:val="Nivel 5"/>
    <w:basedOn w:val="Nvel4-R"/>
    <w:autoRedefine/>
    <w:qFormat/>
    <w:pPr>
      <w:ind w:left="851"/>
    </w:pPr>
  </w:style>
  <w:style w:type="character" w:customStyle="1" w:styleId="Nivel4Char">
    <w:name w:val="Nivel 4 Char"/>
    <w:basedOn w:val="DefaultParagraphFont"/>
    <w:link w:val="Nivel4"/>
    <w:qFormat/>
    <w:rPr>
      <w:rFonts w:ascii="Arial" w:eastAsiaTheme="minorEastAsia" w:hAnsi="Arial" w:cs="Arial"/>
      <w:bCs/>
    </w:rPr>
  </w:style>
  <w:style w:type="paragraph" w:customStyle="1" w:styleId="ou">
    <w:name w:val="ou"/>
    <w:basedOn w:val="ListParagraph"/>
    <w:link w:val="ouChar"/>
    <w:autoRedefine/>
    <w:qFormat/>
    <w:pPr>
      <w:spacing w:before="60" w:after="60" w:line="259" w:lineRule="auto"/>
      <w:ind w:left="0"/>
      <w:contextualSpacing w:val="0"/>
      <w:jc w:val="center"/>
    </w:pPr>
    <w:rPr>
      <w:rFonts w:ascii="Arial" w:eastAsiaTheme="minorHAnsi" w:hAnsi="Arial" w:cs="Arial"/>
      <w:b/>
      <w:bCs/>
      <w:i/>
      <w:iCs/>
      <w:color w:val="FF0000"/>
      <w:sz w:val="20"/>
    </w:rPr>
  </w:style>
  <w:style w:type="character" w:customStyle="1" w:styleId="ouChar">
    <w:name w:val="ou Char"/>
    <w:basedOn w:val="DefaultParagraphFont"/>
    <w:link w:val="ou"/>
    <w:qFormat/>
    <w:rPr>
      <w:rFonts w:ascii="Arial" w:eastAsiaTheme="minorHAnsi" w:hAnsi="Arial" w:cs="Arial"/>
      <w:b/>
      <w:bCs/>
      <w:i/>
      <w:iCs/>
      <w:color w:val="FF0000"/>
      <w:szCs w:val="24"/>
    </w:rPr>
  </w:style>
  <w:style w:type="paragraph" w:customStyle="1" w:styleId="Nvel02">
    <w:name w:val="Nível 02"/>
    <w:basedOn w:val="Nivel2-Opcional"/>
    <w:link w:val="Nvel02Char"/>
    <w:autoRedefine/>
    <w:qFormat/>
    <w:pPr>
      <w:shd w:val="clear" w:color="auto" w:fill="auto"/>
    </w:pPr>
    <w:rPr>
      <w:i w:val="0"/>
      <w:iCs/>
      <w:color w:val="auto"/>
    </w:rPr>
  </w:style>
  <w:style w:type="character" w:customStyle="1" w:styleId="Nvel02Char">
    <w:name w:val="Nível 02 Char"/>
    <w:basedOn w:val="DefaultParagraphFont"/>
    <w:link w:val="Nvel02"/>
    <w:qFormat/>
    <w:rPr>
      <w:rFonts w:ascii="Arial" w:eastAsia="Arial" w:hAnsi="Arial" w:cs="Arial"/>
      <w:iCs/>
    </w:rPr>
  </w:style>
  <w:style w:type="character" w:customStyle="1" w:styleId="Nvel4-RChar">
    <w:name w:val="Nível 4-R Char"/>
    <w:basedOn w:val="Nivel4Char"/>
    <w:link w:val="Nvel4-R"/>
    <w:qFormat/>
    <w:rPr>
      <w:rFonts w:ascii="Arial" w:eastAsiaTheme="minorEastAsia" w:hAnsi="Arial" w:cs="Arial"/>
      <w:bCs/>
      <w:i/>
      <w:color w:val="FF0000"/>
    </w:rPr>
  </w:style>
  <w:style w:type="character" w:customStyle="1" w:styleId="Nivel3Char">
    <w:name w:val="Nivel 3 Char"/>
    <w:basedOn w:val="DefaultParagraphFont"/>
    <w:link w:val="Nivel3"/>
    <w:qFormat/>
    <w:rPr>
      <w:rFonts w:ascii="Arial" w:eastAsiaTheme="minorEastAsia" w:hAnsi="Arial" w:cs="Arial"/>
      <w:color w:val="000000"/>
    </w:rPr>
  </w:style>
  <w:style w:type="paragraph" w:customStyle="1" w:styleId="Nvel2-Opcional">
    <w:name w:val="Nível 2-Opcional"/>
    <w:basedOn w:val="Nvel02"/>
    <w:link w:val="Nvel2-OpcionalChar"/>
    <w:qFormat/>
    <w:rPr>
      <w:i/>
      <w:color w:val="FF0000"/>
    </w:rPr>
  </w:style>
  <w:style w:type="character" w:customStyle="1" w:styleId="Nvel2-OpcionalChar">
    <w:name w:val="Nível 2-Opcional Char"/>
    <w:basedOn w:val="Nvel02Char"/>
    <w:link w:val="Nvel2-Opcional"/>
    <w:qFormat/>
    <w:rPr>
      <w:rFonts w:ascii="Arial" w:eastAsia="Arial" w:hAnsi="Arial" w:cs="Arial"/>
      <w:i/>
      <w:iCs/>
      <w:color w:val="FF0000"/>
    </w:rPr>
  </w:style>
  <w:style w:type="character" w:customStyle="1" w:styleId="Nvel3-OpcionalChar">
    <w:name w:val="Nível 3-Opcional Char"/>
    <w:basedOn w:val="Nivel3Char"/>
    <w:link w:val="Nvel3-Opcional"/>
    <w:qFormat/>
    <w:rPr>
      <w:rFonts w:ascii="Arial" w:eastAsiaTheme="minorEastAsia" w:hAnsi="Arial" w:cs="Tahoma"/>
      <w:i/>
      <w:color w:val="FF0000"/>
      <w:szCs w:val="24"/>
    </w:rPr>
  </w:style>
  <w:style w:type="character" w:customStyle="1" w:styleId="Nivel2Char">
    <w:name w:val="Nivel 2 Char"/>
    <w:basedOn w:val="DefaultParagraphFont"/>
    <w:link w:val="Nivel2"/>
    <w:qFormat/>
    <w:locked/>
    <w:rPr>
      <w:rFonts w:ascii="Arial" w:eastAsiaTheme="minorEastAsia" w:hAnsi="Arial" w:cs="Arial"/>
      <w:color w:val="000000"/>
    </w:rPr>
  </w:style>
  <w:style w:type="character" w:customStyle="1" w:styleId="Nvel2-RedChar">
    <w:name w:val="Nível 2 -Red Char"/>
    <w:basedOn w:val="Nivel2Char"/>
    <w:link w:val="Nvel2-Red"/>
    <w:qFormat/>
    <w:rPr>
      <w:rFonts w:ascii="Arial" w:eastAsiaTheme="minorEastAsia" w:hAnsi="Arial" w:cs="Arial"/>
      <w:i/>
      <w:iCs/>
      <w:color w:val="FF0000"/>
    </w:rPr>
  </w:style>
  <w:style w:type="character" w:customStyle="1" w:styleId="Nvel3Char">
    <w:name w:val="Nível 3 Char"/>
    <w:basedOn w:val="DefaultParagraphFont"/>
    <w:link w:val="Nvel3"/>
    <w:qFormat/>
    <w:rPr>
      <w:rFonts w:ascii="Arial" w:eastAsia="Times New Roman" w:hAnsi="Arial" w:cs="Arial"/>
      <w:color w:val="FF0000"/>
    </w:rPr>
  </w:style>
  <w:style w:type="character" w:customStyle="1" w:styleId="Nvel4Char">
    <w:name w:val="Nível 4 Char"/>
    <w:basedOn w:val="Nvel3Char"/>
    <w:link w:val="Nvel4"/>
    <w:qFormat/>
    <w:rPr>
      <w:rFonts w:ascii="Arial" w:eastAsia="Times New Roman" w:hAnsi="Arial" w:cs="Arial"/>
      <w:color w:val="FF0000"/>
    </w:rPr>
  </w:style>
  <w:style w:type="character" w:customStyle="1" w:styleId="SubTitNNChar">
    <w:name w:val="SubTitNN Char"/>
    <w:basedOn w:val="DefaultParagraphFont"/>
    <w:link w:val="SubTitNN"/>
    <w:qFormat/>
    <w:rPr>
      <w:rFonts w:ascii="Arial" w:eastAsia="Times New Roman" w:hAnsi="Arial" w:cs="Arial"/>
      <w:b/>
      <w:bCs/>
      <w:iCs/>
    </w:rPr>
  </w:style>
  <w:style w:type="paragraph" w:customStyle="1" w:styleId="Textodecomentrio1">
    <w:name w:val="Texto de comentário1"/>
    <w:basedOn w:val="Normal"/>
    <w:next w:val="CommentText"/>
    <w:uiPriority w:val="99"/>
    <w:unhideWhenUsed/>
    <w:qFormat/>
    <w:rPr>
      <w:rFonts w:eastAsia="Calibri"/>
      <w:kern w:val="2"/>
      <w:sz w:val="22"/>
      <w:szCs w:val="22"/>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eop">
    <w:name w:val="eop"/>
    <w:basedOn w:val="DefaultParagraphFont"/>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cp/lcp123.htm" TargetMode="External"/><Relationship Id="rId63" Type="http://schemas.openxmlformats.org/officeDocument/2006/relationships/hyperlink" Target="https://www.gov.br/trabalho-e-previdencia/pt-br/servicos/empregador/programa-de-alimentacao-do-trabalhador-pat/arquivos-legislacao/instrucoes-normativas/pat_in_971_2009.pdf" TargetMode="External"/><Relationship Id="rId68" Type="http://schemas.openxmlformats.org/officeDocument/2006/relationships/hyperlink" Target="http://www.planalto.gov.br/ccivil_03/_Ato2019-2022/2021/Lei/L14133.htm" TargetMode="External"/><Relationship Id="rId7" Type="http://schemas.openxmlformats.org/officeDocument/2006/relationships/hyperlink" Target="http://www.planalto.gov.br/ccivil_03/_ato2019-2022/2021/lei/L14133.htm" TargetMode="External"/><Relationship Id="rId71"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eis"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AGU/Pareceres/2019-2022/PRC-JL-01-2020.htm" TargetMode="External"/><Relationship Id="rId66" Type="http://schemas.openxmlformats.org/officeDocument/2006/relationships/hyperlink" Target="https://www.planalto.gov.br/ccivil_03/leis/l5764.htm" TargetMode="External"/><Relationship Id="rId5"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constituicao/constituicaocompilado.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leis/l8429.htm" TargetMode="External"/><Relationship Id="rId61" Type="http://schemas.openxmlformats.org/officeDocument/2006/relationships/hyperlink" Target="https://www.planalto.gov.br/ccivil_03/leis/l5764.htm" TargetMode="External"/><Relationship Id="rId10" Type="http://schemas.openxmlformats.org/officeDocument/2006/relationships/hyperlink" Target="https://www.planalto.gov.br/ccivil_03/leis/lcp/lcp123.ht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s://contas.tcu.gov.br/ords/f?p=INABILITADO:CERTIDAO:0" TargetMode="External"/><Relationship Id="rId44" Type="http://schemas.openxmlformats.org/officeDocument/2006/relationships/hyperlink" Target="https://www.gov.br/compras/pt-br/acesso-a-informacao/legislacao/instrucoes-normativas/instrucao-normativa-seges-me-no-73-de-30-de-setembro-de-2022"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s://www.gov.br/economia/pt-br/assuntos/drei/legislacao/arquivos/legislacoes-federais/indrei772020.pdf" TargetMode="External"/><Relationship Id="rId65" Type="http://schemas.openxmlformats.org/officeDocument/2006/relationships/hyperlink" Target="https://www.planalto.gov.br/ccivil_03/leis/l5764.htm" TargetMode="External"/><Relationship Id="rId4" Type="http://schemas.openxmlformats.org/officeDocument/2006/relationships/webSettings" Target="webSettings.xml"/><Relationship Id="rId9" Type="http://schemas.openxmlformats.org/officeDocument/2006/relationships/hyperlink" Target="https://www.gov.br/compras/pt-br%20"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nep"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gov.br/compras/pt-br/acesso-a-informacao/legislacao/instrucoes-normativas/instrucao-normativa-no-53-de-8-de-julho-de-2020" TargetMode="External"/><Relationship Id="rId64" Type="http://schemas.openxmlformats.org/officeDocument/2006/relationships/hyperlink" Target="https://www.planalto.gov.br/ccivil_03/leis/l5764.htm" TargetMode="External"/><Relationship Id="rId69" Type="http://schemas.openxmlformats.org/officeDocument/2006/relationships/hyperlink" Target="https://ufsj.edu.br/dimap/secol-atasvigentes.php" TargetMode="External"/><Relationship Id="rId8" Type="http://schemas.openxmlformats.org/officeDocument/2006/relationships/hyperlink" Target="https://www.planalto.gov.br/ccivil_03/_ato2023-2026/2023/decreto/D11462.htm" TargetMode="External"/><Relationship Id="rId51" Type="http://schemas.openxmlformats.org/officeDocument/2006/relationships/hyperlink" Target="https://in.gov.br/en/web/dou/-/instrucao-normativa-seges/me-n-77-de-4-de-novembro-de-2022-441681061" TargetMode="External"/><Relationship Id="rId72"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gov.br/empresas-e-negocios/pt-br/empreendedor" TargetMode="External"/><Relationship Id="rId67" Type="http://schemas.openxmlformats.org/officeDocument/2006/relationships/hyperlink" Target="https://www.planalto.gov.br/ccivil_03/leis/l5764.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s://in.gov.br/en/web/dou/-/instrucao-normativa-seges/me-n-77-de-4-de-novembro-de-2022-441681061" TargetMode="External"/><Relationship Id="rId62" Type="http://schemas.openxmlformats.org/officeDocument/2006/relationships/hyperlink" Target="https://www.planalto.gov.br/ccivil_03/_ato2019-2022/2021/decreto/d10880.htm" TargetMode="External"/><Relationship Id="rId7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38</Pages>
  <Words>21580</Words>
  <Characters>127051</Characters>
  <Application>Microsoft Office Word</Application>
  <DocSecurity>0</DocSecurity>
  <Lines>1058</Lines>
  <Paragraphs>296</Paragraphs>
  <ScaleCrop>false</ScaleCrop>
  <Company/>
  <LinksUpToDate>false</LinksUpToDate>
  <CharactersWithSpaces>148335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Fabiano</dc:creator>
  <cp:lastModifiedBy>André Chaves</cp:lastModifiedBy>
  <cp:revision>2</cp:revision>
  <dcterms:created xsi:type="dcterms:W3CDTF">2025-04-29T14:30:00Z</dcterms:created>
  <dcterms:modified xsi:type="dcterms:W3CDTF">2025-04-29T14:30:00Z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1046-12.2.0.20782</vt:lpwstr>
  </property>
  <property fmtid="{D5CDD505-2E9C-101B-9397-08002B2CF9AE}" pid="3" name="ICV">
    <vt:lpwstr>E079E7E85144408FB5C7F68CA5332F50_11</vt:lpwstr>
  </property>
</Properties>
</file>